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Neumora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001-41802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84-4367680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1784"/>
        <w:spacing w:after="0"/>
        <w:rPr>
          <w:sz w:val="20"/>
          <w:szCs w:val="20"/>
          <w:color w:val="auto"/>
        </w:rPr>
      </w:pPr>
      <w:r>
        <w:rPr>
          <w:rFonts w:ascii="Times New Roman" w:cs="Times New Roman" w:eastAsia="Times New Roman" w:hAnsi="Times New Roman"/>
          <w:sz w:val="18"/>
          <w:szCs w:val="18"/>
          <w:b w:val="1"/>
          <w:bCs w:val="1"/>
          <w:color w:val="auto"/>
        </w:rPr>
        <w:t>260 Arsenal Place, Suite 1</w:t>
      </w:r>
    </w:p>
    <w:p>
      <w:pPr>
        <w:spacing w:after="0" w:line="31" w:lineRule="exact"/>
        <w:rPr>
          <w:sz w:val="24"/>
          <w:szCs w:val="24"/>
          <w:color w:val="auto"/>
        </w:rPr>
      </w:pPr>
    </w:p>
    <w:p>
      <w:pPr>
        <w:ind w:left="1744"/>
        <w:spacing w:after="0"/>
        <w:rPr>
          <w:sz w:val="20"/>
          <w:szCs w:val="20"/>
          <w:color w:val="auto"/>
        </w:rPr>
      </w:pPr>
      <w:r>
        <w:rPr>
          <w:rFonts w:ascii="Times New Roman" w:cs="Times New Roman" w:eastAsia="Times New Roman" w:hAnsi="Times New Roman"/>
          <w:sz w:val="17"/>
          <w:szCs w:val="17"/>
          <w:b w:val="1"/>
          <w:bCs w:val="1"/>
          <w:color w:val="auto"/>
        </w:rPr>
        <w:t>Watertown, Massachusetts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02472</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760-0900</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NMRA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May 27, 2026, Neumora Therapeutics, Inc. (the “Company”) held its Annual Meeting of Stockholders (the “Annual Meeting”). At the Annual Meeting, the Company’s stockholders voted on four proposals, each of which is described in more detail in the Company’s definitive proxy statement on Schedule 14A filed with the Securities and Exchange Commission on April 17, 2026 (the “Definitive Proxy Statement”). Only stockholders of record as of the close of business on April 7, 2026, the record date for the Annual Meeting, were entitled to vote at the Annual Meeting. As of the record date, 182,688,076 shares of the Company’s common stock were outstanding and entitled to vote at the Annual Meeting. The tabulation of the stockholder votes on each proposal brought before the Annual Meeting is as follows:</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Proposal 1. The election of three Class III directors to hold office until the 2029 annual meeting of stockholders and until their respective successor is elected and qualified or until their earlier death, resignation, disqualification or removal. The results of the vote were as follows:</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5340" w:type="dxa"/>
            <w:vAlign w:val="bottom"/>
            <w:vMerge w:val="restart"/>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560" w:type="dxa"/>
            <w:vAlign w:val="bottom"/>
            <w:tcBorders>
              <w:bottom w:val="single" w:sz="8" w:color="auto"/>
            </w:tcBorders>
            <w:vMerge w:val="continue"/>
          </w:tcPr>
          <w:p>
            <w:pPr>
              <w:spacing w:after="0"/>
              <w:rPr>
                <w:sz w:val="15"/>
                <w:szCs w:val="15"/>
                <w:color w:val="auto"/>
              </w:rPr>
            </w:pPr>
          </w:p>
        </w:tc>
        <w:tc>
          <w:tcPr>
            <w:tcW w:w="534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3"/>
        </w:trPr>
        <w:tc>
          <w:tcPr>
            <w:tcW w:w="59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Paul L. Berns</w:t>
            </w:r>
          </w:p>
        </w:tc>
        <w:tc>
          <w:tcPr>
            <w:tcW w:w="9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126,617,746</w:t>
            </w:r>
          </w:p>
        </w:tc>
        <w:tc>
          <w:tcPr>
            <w:tcW w:w="2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6,076,577</w:t>
            </w: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25,026,919</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Fust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125,242,046</w:t>
            </w:r>
          </w:p>
        </w:tc>
        <w:tc>
          <w:tcPr>
            <w:tcW w:w="2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7,452,277</w:t>
            </w:r>
          </w:p>
        </w:tc>
        <w:tc>
          <w:tcPr>
            <w:tcW w:w="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25,026,919</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Piacquad</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126,878,899</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5,815,424</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25,026,919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Proposal 2. The ratification of the selection by the audit committee of the board of directors of the Company (the “Board”) of Ernst &amp; Young LLP as the independent registered public accounting firm of the Company for the fiscal year ending December 31, 2026. The results of the vote were as follows:</w:t>
      </w:r>
    </w:p>
    <w:p>
      <w:pPr>
        <w:spacing w:after="0" w:line="160" w:lineRule="exact"/>
        <w:rPr>
          <w:sz w:val="20"/>
          <w:szCs w:val="20"/>
          <w:color w:val="auto"/>
        </w:rPr>
      </w:pPr>
    </w:p>
    <w:tbl>
      <w:tblPr>
        <w:tblLayout w:type="fixed"/>
        <w:tblInd w:w="1540" w:type="dxa"/>
        <w:tblCellMar>
          <w:top w:w="0" w:type="dxa"/>
          <w:left w:w="0" w:type="dxa"/>
          <w:bottom w:w="0" w:type="dxa"/>
          <w:right w:w="0" w:type="dxa"/>
        </w:tblCellMar>
      </w:tblPr>
      <w:tr>
        <w:trPr>
          <w:trHeight w:val="187"/>
        </w:trPr>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09"/>
        </w:trPr>
        <w:tc>
          <w:tcPr>
            <w:tcW w:w="270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157,623,815</w:t>
            </w:r>
          </w:p>
        </w:tc>
        <w:tc>
          <w:tcPr>
            <w:tcW w:w="12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53,613</w:t>
            </w:r>
          </w:p>
        </w:tc>
        <w:tc>
          <w:tcPr>
            <w:tcW w:w="6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43,814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routine proposal under applicable rules, no broker non-votes were recorded in connection with this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3. The advisory vote on the compensation of the Company’s named executive officers. The results of the vote were as follows:</w:t>
      </w:r>
    </w:p>
    <w:p>
      <w:pPr>
        <w:spacing w:after="0" w:line="246" w:lineRule="exact"/>
        <w:rPr>
          <w:sz w:val="20"/>
          <w:szCs w:val="20"/>
          <w:color w:val="auto"/>
        </w:rPr>
      </w:pPr>
    </w:p>
    <w:tbl>
      <w:tblPr>
        <w:tblLayout w:type="fixed"/>
        <w:tblInd w:w="1100" w:type="dxa"/>
        <w:tblCellMar>
          <w:top w:w="0" w:type="dxa"/>
          <w:left w:w="0" w:type="dxa"/>
          <w:bottom w:w="0" w:type="dxa"/>
          <w:right w:w="0" w:type="dxa"/>
        </w:tblCellMar>
      </w:tblPr>
      <w:tr>
        <w:trPr>
          <w:trHeight w:val="187"/>
        </w:trPr>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21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131,998,871</w:t>
            </w:r>
          </w:p>
        </w:tc>
        <w:tc>
          <w:tcPr>
            <w:tcW w:w="1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420,917</w:t>
            </w:r>
          </w:p>
        </w:tc>
        <w:tc>
          <w:tcPr>
            <w:tcW w:w="8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274,535</w:t>
            </w:r>
          </w:p>
        </w:tc>
        <w:tc>
          <w:tcPr>
            <w:tcW w:w="8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25,026,919</w:t>
            </w: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Proposal 4. The advisory vote on the frequency of future advisory votes on the compensation of the Company’s named executive officers. The results of the vote were as follows:</w:t>
      </w:r>
    </w:p>
    <w:p>
      <w:pPr>
        <w:spacing w:after="0" w:line="182" w:lineRule="exact"/>
        <w:rPr>
          <w:sz w:val="20"/>
          <w:szCs w:val="20"/>
          <w:color w:val="auto"/>
        </w:rPr>
      </w:pPr>
    </w:p>
    <w:tbl>
      <w:tblPr>
        <w:tblLayout w:type="fixed"/>
        <w:tblInd w:w="1100" w:type="dxa"/>
        <w:tblCellMar>
          <w:top w:w="0" w:type="dxa"/>
          <w:left w:w="0" w:type="dxa"/>
          <w:bottom w:w="0" w:type="dxa"/>
          <w:right w:w="0" w:type="dxa"/>
        </w:tblCellMar>
      </w:tblPr>
      <w:tr>
        <w:trPr>
          <w:trHeight w:val="187"/>
        </w:trPr>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One Year</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For Two Years</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Three Years</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158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124,682,414</w:t>
            </w:r>
          </w:p>
        </w:tc>
        <w:tc>
          <w:tcPr>
            <w:tcW w:w="1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23,968</w:t>
            </w:r>
          </w:p>
        </w:tc>
        <w:tc>
          <w:tcPr>
            <w:tcW w:w="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7,948,592</w:t>
            </w:r>
          </w:p>
        </w:tc>
        <w:tc>
          <w:tcPr>
            <w:tcW w:w="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39,349</w:t>
            </w:r>
          </w:p>
        </w:tc>
        <w:tc>
          <w:tcPr>
            <w:tcW w:w="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25,026,919</w:t>
            </w:r>
          </w:p>
        </w:tc>
      </w:tr>
    </w:tbl>
    <w:p>
      <w:pPr>
        <w:spacing w:after="0" w:line="19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accordance with the recommendation of the Board and the voting results on this advisory proposal, the Company will hold an advisory vote to approve the named executive officer compensation every year.</w:t>
      </w:r>
    </w:p>
    <w:p>
      <w:pPr>
        <w:sectPr>
          <w:pgSz w:w="11900" w:h="16838" w:orient="portrait"/>
          <w:cols w:equalWidth="0" w:num="1">
            <w:col w:w="10980"/>
          </w:cols>
          <w:pgMar w:left="440" w:top="293" w:right="4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NEUMORA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Michael Milligan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940"/>
      </w:cols>
      <w:pgMar w:left="440" w:top="29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2026-05-29T16:33:54Z</dcterms:created>
  <dcterms:modified xsi:type="dcterms:W3CDTF">2026-05-29T16:33:54Z</dcterms:modified>
</cp:coreProperties>
</file>