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nmra-20260331.htm"/>
        <w:bookmarkStart w:id="1" w:name="ksnmra20260331"/>
        <w:bookmarkEnd w:id="0"/>
        <w:bookmarkEnd w:id="1"/>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left"/>
        <w:rPr>
          <w:rFonts w:ascii="Times New Roman" w:hAnsi="Times New Roman"/>
          <w:color w:val="000000"/>
          <w:sz w:val="2"/>
        </w:rPr>
      </w:pPr>
      <w:r>
        <w:rPr>
          <w:rFonts w:ascii="Times New Roman" w:hAnsi="Times New Roman"/>
          <w:color w:val="000000"/>
          <w:sz w:val="2"/>
        </w:rPr>
        <w:t>t0</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001-41802</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NEUMORA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84-4367680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260 Arsenal Place,</w:t>
            </w:r>
            <w:r>
              <w:rPr>
                <w:rFonts w:ascii="Times New Roman" w:hAnsi="Times New Roman"/>
                <w:color w:val="000000"/>
                <w:sz w:val="20"/>
              </w:rPr>
              <w:t xml:space="preserve"> </w:t>
            </w:r>
            <w:r>
              <w:rPr>
                <w:rFonts w:ascii="Times New Roman" w:hAnsi="Times New Roman"/>
                <w:b/>
                <w:color w:val="000000"/>
                <w:sz w:val="20"/>
              </w:rPr>
              <w:t>Suite 1</w:t>
            </w:r>
          </w:p>
          <w:p>
            <w:pPr>
              <w:pStyle w:val="TableContents"/>
              <w:bidi w:val="0"/>
              <w:spacing w:before="0" w:after="15"/>
              <w:jc w:val="center"/>
              <w:rPr>
                <w:rFonts w:ascii="Times New Roman" w:hAnsi="Times New Roman"/>
                <w:sz w:val="20"/>
              </w:rPr>
            </w:pPr>
            <w:r>
              <w:rPr>
                <w:rFonts w:ascii="Times New Roman" w:hAnsi="Times New Roman"/>
                <w:b/>
                <w:color w:val="000000"/>
                <w:sz w:val="20"/>
              </w:rPr>
              <w:t>Watertown, Massachusetts</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(857) 760-0900</w:t>
      </w:r>
    </w:p>
    <w:p>
      <w:pPr>
        <w:pStyle w:val="TextBody"/>
        <w:pBdr>
          <w:bottom w:val="single" w:sz="4" w:space="1" w:color="000000"/>
        </w:pBdr>
        <w:bidi w:val="0"/>
        <w:spacing w:before="40" w:after="283"/>
        <w:ind w:left="4320" w:right="4320" w:hanging="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35" w:type="dxa"/>
        <w:jc w:val="left"/>
        <w:tblInd w:w="0" w:type="dxa"/>
        <w:tblLayout w:type="fixed"/>
        <w:tblCellMar>
          <w:top w:w="28" w:type="dxa"/>
          <w:left w:w="28" w:type="dxa"/>
          <w:bottom w:w="28" w:type="dxa"/>
          <w:right w:w="28" w:type="dxa"/>
        </w:tblCellMar>
      </w:tblPr>
      <w:tblGrid>
        <w:gridCol w:w="3301"/>
        <w:gridCol w:w="146"/>
        <w:gridCol w:w="826"/>
        <w:gridCol w:w="146"/>
        <w:gridCol w:w="3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par value $0.0001 per share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NMRA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As of May 1, 2026, the registrant had 185,284,244</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clinical and regulatory development plans including any related anticipated program milestones;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clinical trials to demonstrate safety and efficacy of our product candidates, and other positive results;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with regard to the results of our clinical studies, preclinical studies and research and development programs, including the timing and availability of data from such studies;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estimates of the number of patients that we will enroll in our clinical trials and the timing of their enrollment;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commencement of future preclinical studies and clinical trials and research and development programs;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acquire, discover, develop and advance product candidates into, and successfully complete, clinical trials;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reduce the time or increase the likelihood of success of our research and development relative to the traditional drug discovery paradigm using our precision neuroscience approach;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improve, and the rate of improvement in, our precision neuroscience approach, or to realize benefits from such improvements;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related to our precision neuroscience approach, including but not limited to whether it will have the same impact as data-driven precision medicine in the oncology field;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achieve our mission to redefine neuroscience drug development by bringing forward the next generation of novel therapies that offer improved treatment outcomes and quality of life for patients suffering from brain and centrally mediated diseases;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scale our company;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milestone payments;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intentions and our ability to establish collaborations and/or partnerships, and whether such collaborations and/or partnerships are successful;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 candidates;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commercialization, marketing and manufacturing, including any capabilities and expectations related thereto;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keep pace with new technological developments;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impact from future regulatory, judicial and legislative changes or developments in the United States and foreign countries;</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intentions with respect to the commercialization of our product candidates, if approved;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pricing and reimbursement of our product candidates, if approved;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and product candidates, including additional indications which we may pursue;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our technical operations infrastructure to avoid errors, delays or cybersecurity breaches;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effectively manage our growth, including our ability to retain and recruit personnel, and maintain our culture;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including the projected terms of patent protection;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expected use of our existing cash, cash equivalents and marketable securities;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period over which we estimate our existing cash, cash equivalents, and marketable securities will be sufficient to fund our future operating expenses and capital expenditure requirements;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third-party suppliers and manufacturers;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from general political conditions, including but not limited to, disruptions in U.S. government operations and funding, geopolitical conflicts such as the war between Russia and Ukraine and ongoing conflicts in the Middle East, and any sanctions or other repercussions that may result therefrom;</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to our business from general economic conditions, including but not limited to, inflation, tariffs, trade controls, recession risk, low consumer confidence and increasing interest rates;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products; and </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risks and uncertainties, including those listed under the caption “Risk Factors” in this Quarterly Report on Form 10-Q.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Securities and Exchange Commission filings, webcasts, press releases and conference calls. We use these mediums, including our website, to communicate with the public about our company, our business and other issues. It is possible that the information that we make available may be deemed to be material information. We encourage investors and others interested in our company to review the information that we make available on our website.</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operations_and_com_los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rganization_and_liquidity">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spacing w:before="120" w:after="283"/>
        <w:jc w:val="center"/>
        <w:rPr>
          <w:rFonts w:ascii="Times New Roman" w:hAnsi="Times New Roman"/>
          <w:sz w:val="20"/>
        </w:rPr>
      </w:pPr>
      <w:bookmarkStart w:id="3" w:name="part_i"/>
      <w:bookmarkEnd w:id="3"/>
      <w:r>
        <w:rPr>
          <w:rFonts w:ascii="Times New Roman" w:hAnsi="Times New Roman"/>
          <w:b/>
          <w:caps/>
          <w:color w:val="000000"/>
          <w:sz w:val="22"/>
        </w:rPr>
        <w:t>Part I</w:t>
      </w:r>
      <w:r>
        <w:rPr>
          <w:rFonts w:ascii="Times New Roman" w:hAnsi="Times New Roman"/>
          <w:color w:val="000000"/>
          <w:sz w:val="20"/>
        </w:rPr>
        <w:t>—</w:t>
      </w:r>
      <w:r>
        <w:rPr>
          <w:rFonts w:ascii="Times New Roman" w:hAnsi="Times New Roman"/>
          <w:b/>
          <w:caps/>
          <w:color w:val="000000"/>
          <w:sz w:val="22"/>
        </w:rPr>
        <w:t>Financial Information</w:t>
      </w:r>
    </w:p>
    <w:p>
      <w:pPr>
        <w:pStyle w:val="TextBody"/>
        <w:bidi w:val="0"/>
        <w:spacing w:before="120" w:after="283"/>
        <w:jc w:val="left"/>
        <w:rPr>
          <w:rFonts w:ascii="Times New Roman" w:hAnsi="Times New Roman"/>
          <w:sz w:val="20"/>
        </w:rPr>
      </w:pPr>
      <w:r>
        <w:rPr>
          <w:rFonts w:ascii="Times New Roman" w:hAnsi="Times New Roman"/>
          <w:b/>
          <w:color w:val="000000"/>
          <w:sz w:val="22"/>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b/>
          <w:color w:val="000000"/>
          <w:sz w:val="22"/>
        </w:rPr>
      </w:pPr>
      <w:bookmarkStart w:id="4" w:name="balance_sheets"/>
      <w:bookmarkEnd w:id="4"/>
      <w:r>
        <w:rPr>
          <w:rFonts w:ascii="Times New Roman" w:hAnsi="Times New Roman"/>
          <w:b/>
          <w:color w:val="000000"/>
          <w:sz w:val="22"/>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color w:val="000000"/>
          <w:sz w:val="22"/>
        </w:rPr>
        <w:t>in thousands)</w:t>
      </w:r>
    </w:p>
    <w:p>
      <w:pPr>
        <w:pStyle w:val="TextBody"/>
        <w:bidi w:val="0"/>
        <w:jc w:val="left"/>
        <w:rPr/>
      </w:pPr>
      <w:r>
        <w:rPr/>
        <w:t> </w:t>
      </w:r>
    </w:p>
    <w:tbl>
      <w:tblPr>
        <w:tblW w:w="7222" w:type="dxa"/>
        <w:jc w:val="left"/>
        <w:tblInd w:w="0" w:type="dxa"/>
        <w:tblLayout w:type="fixed"/>
        <w:tblCellMar>
          <w:top w:w="28" w:type="dxa"/>
          <w:left w:w="28" w:type="dxa"/>
          <w:bottom w:w="28" w:type="dxa"/>
          <w:right w:w="28" w:type="dxa"/>
        </w:tblCellMar>
      </w:tblPr>
      <w:tblGrid>
        <w:gridCol w:w="3711"/>
        <w:gridCol w:w="146"/>
        <w:gridCol w:w="211"/>
        <w:gridCol w:w="991"/>
        <w:gridCol w:w="166"/>
        <w:gridCol w:w="146"/>
        <w:gridCol w:w="221"/>
        <w:gridCol w:w="1039"/>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spacing w:before="0" w:after="12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bookmarkStart w:id="5" w:name="condensed_operations_and_com_loss"/>
      <w:bookmarkEnd w:id="5"/>
      <w:r>
        <w:rPr>
          <w:rFonts w:ascii="Times New Roman" w:hAnsi="Times New Roman"/>
          <w:b/>
          <w:color w:val="000000"/>
          <w:sz w:val="22"/>
        </w:rPr>
        <w:t>Condensed Consolidated Statements</w:t>
      </w:r>
      <w:r>
        <w:rPr>
          <w:rFonts w:ascii="Times New Roman" w:hAnsi="Times New Roman"/>
          <w:color w:val="000000"/>
          <w:sz w:val="20"/>
        </w:rPr>
        <w:t xml:space="preserve"> </w:t>
      </w:r>
      <w:r>
        <w:rPr>
          <w:rFonts w:ascii="Times New Roman" w:hAnsi="Times New Roman"/>
          <w:b/>
          <w:color w:val="000000"/>
          <w:sz w:val="22"/>
        </w:rPr>
        <w:t>of Operations and Comprehensive Loss</w:t>
      </w:r>
    </w:p>
    <w:p>
      <w:pPr>
        <w:pStyle w:val="TextBody"/>
        <w:bidi w:val="0"/>
        <w:jc w:val="center"/>
        <w:rPr>
          <w:rFonts w:ascii="Times New Roman" w:hAnsi="Times New Roman"/>
          <w:b/>
          <w:color w:val="000000"/>
          <w:sz w:val="22"/>
        </w:rPr>
      </w:pPr>
      <w:r>
        <w:rPr>
          <w:rFonts w:ascii="Times New Roman" w:hAnsi="Times New Roman"/>
          <w:b/>
          <w:color w:val="000000"/>
          <w:sz w:val="22"/>
        </w:rPr>
        <w:t>(unaudited, in thousands, except per share amounts)</w:t>
      </w:r>
    </w:p>
    <w:p>
      <w:pPr>
        <w:pStyle w:val="TextBody"/>
        <w:bidi w:val="0"/>
        <w:jc w:val="left"/>
        <w:rPr/>
      </w:pPr>
      <w:r>
        <w:rPr/>
        <w:t> </w:t>
      </w:r>
    </w:p>
    <w:tbl>
      <w:tblPr>
        <w:tblW w:w="7996" w:type="dxa"/>
        <w:jc w:val="left"/>
        <w:tblInd w:w="0" w:type="dxa"/>
        <w:tblLayout w:type="fixed"/>
        <w:tblCellMar>
          <w:top w:w="28" w:type="dxa"/>
          <w:left w:w="28" w:type="dxa"/>
          <w:bottom w:w="28" w:type="dxa"/>
          <w:right w:w="28" w:type="dxa"/>
        </w:tblCellMar>
      </w:tblPr>
      <w:tblGrid>
        <w:gridCol w:w="4651"/>
        <w:gridCol w:w="146"/>
        <w:gridCol w:w="256"/>
        <w:gridCol w:w="949"/>
        <w:gridCol w:w="201"/>
        <w:gridCol w:w="177"/>
        <w:gridCol w:w="256"/>
        <w:gridCol w:w="949"/>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52,864</w:t>
            </w:r>
          </w:p>
        </w:tc>
        <w:tc>
          <w:tcPr>
            <w:tcW w:w="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70,936</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bookmarkStart w:id="6" w:name="equity"/>
      <w:bookmarkEnd w:id="6"/>
      <w:r>
        <w:rPr>
          <w:rFonts w:ascii="Times New Roman" w:hAnsi="Times New Roman"/>
          <w:b/>
          <w:color w:val="000000"/>
          <w:sz w:val="22"/>
        </w:rPr>
        <w:t>Condensed Consolidated Statements</w:t>
      </w:r>
      <w:r>
        <w:rPr>
          <w:rFonts w:ascii="Times New Roman" w:hAnsi="Times New Roman"/>
          <w:color w:val="000000"/>
          <w:sz w:val="20"/>
        </w:rPr>
        <w:t xml:space="preserve"> </w:t>
      </w:r>
      <w:r>
        <w:rPr>
          <w:rFonts w:ascii="Times New Roman" w:hAnsi="Times New Roman"/>
          <w:b/>
          <w:color w:val="000000"/>
          <w:sz w:val="22"/>
        </w:rPr>
        <w:t>of Stockholders’ Equity</w:t>
      </w:r>
    </w:p>
    <w:p>
      <w:pPr>
        <w:pStyle w:val="TextBody"/>
        <w:bidi w:val="0"/>
        <w:jc w:val="center"/>
        <w:rPr>
          <w:rFonts w:ascii="Times New Roman" w:hAnsi="Times New Roman"/>
          <w:b/>
          <w:color w:val="000000"/>
          <w:sz w:val="22"/>
        </w:rPr>
      </w:pPr>
      <w:r>
        <w:rPr>
          <w:rFonts w:ascii="Times New Roman" w:hAnsi="Times New Roman"/>
          <w:b/>
          <w:color w:val="000000"/>
          <w:sz w:val="22"/>
        </w:rPr>
        <w:t>(unaudited, in thousands)</w:t>
      </w:r>
    </w:p>
    <w:p>
      <w:pPr>
        <w:pStyle w:val="TextBody"/>
        <w:bidi w:val="0"/>
        <w:ind w:left="0" w:right="58" w:hanging="0"/>
        <w:jc w:val="center"/>
        <w:rPr/>
      </w:pPr>
      <w:r>
        <w:rPr/>
        <w:t> </w:t>
      </w:r>
    </w:p>
    <w:p>
      <w:pPr>
        <w:pStyle w:val="TextBody"/>
        <w:bidi w:val="0"/>
        <w:ind w:left="0" w:right="58"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3786"/>
        <w:gridCol w:w="146"/>
        <w:gridCol w:w="146"/>
        <w:gridCol w:w="691"/>
        <w:gridCol w:w="146"/>
        <w:gridCol w:w="146"/>
        <w:gridCol w:w="249"/>
        <w:gridCol w:w="442"/>
        <w:gridCol w:w="146"/>
        <w:gridCol w:w="146"/>
        <w:gridCol w:w="196"/>
        <w:gridCol w:w="826"/>
        <w:gridCol w:w="146"/>
        <w:gridCol w:w="146"/>
        <w:gridCol w:w="196"/>
        <w:gridCol w:w="886"/>
        <w:gridCol w:w="166"/>
        <w:gridCol w:w="146"/>
        <w:gridCol w:w="233"/>
        <w:gridCol w:w="827"/>
        <w:gridCol w:w="393"/>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103,871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Issuance of common stock through at-the-market transactions net of offering costs of $0.2</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upon conversion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70,680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58"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146"/>
        <w:gridCol w:w="691"/>
        <w:gridCol w:w="166"/>
        <w:gridCol w:w="146"/>
        <w:gridCol w:w="249"/>
        <w:gridCol w:w="442"/>
        <w:gridCol w:w="146"/>
        <w:gridCol w:w="146"/>
        <w:gridCol w:w="196"/>
        <w:gridCol w:w="826"/>
        <w:gridCol w:w="146"/>
        <w:gridCol w:w="146"/>
        <w:gridCol w:w="439"/>
        <w:gridCol w:w="777"/>
        <w:gridCol w:w="166"/>
        <w:gridCol w:w="146"/>
        <w:gridCol w:w="196"/>
        <w:gridCol w:w="886"/>
        <w:gridCol w:w="166"/>
        <w:gridCol w:w="146"/>
        <w:gridCol w:w="233"/>
        <w:gridCol w:w="826"/>
        <w:gridCol w:w="412"/>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287,064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Forfeiture of 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Vesting of common stock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228,364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58" w:hanging="0"/>
        <w:jc w:val="center"/>
        <w:rPr/>
      </w:pPr>
      <w:r>
        <w:rPr/>
        <w:t> </w:t>
      </w:r>
    </w:p>
    <w:p>
      <w:pPr>
        <w:pStyle w:val="TextBody"/>
        <w:bidi w:val="0"/>
        <w:ind w:left="0" w:right="58" w:hanging="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spacing w:before="0" w:after="12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left"/>
        <w:rPr/>
      </w:pPr>
      <w:r>
        <w:rPr/>
        <w:t> </w:t>
      </w:r>
    </w:p>
    <w:tbl>
      <w:tblPr>
        <w:tblW w:w="9025" w:type="dxa"/>
        <w:jc w:val="left"/>
        <w:tblInd w:w="0" w:type="dxa"/>
        <w:tblLayout w:type="fixed"/>
        <w:tblCellMar>
          <w:top w:w="28" w:type="dxa"/>
          <w:left w:w="28" w:type="dxa"/>
          <w:bottom w:w="28" w:type="dxa"/>
          <w:right w:w="28" w:type="dxa"/>
        </w:tblCellMar>
      </w:tblPr>
      <w:tblGrid>
        <w:gridCol w:w="5491"/>
        <w:gridCol w:w="146"/>
        <w:gridCol w:w="242"/>
        <w:gridCol w:w="854"/>
        <w:gridCol w:w="205"/>
        <w:gridCol w:w="180"/>
        <w:gridCol w:w="242"/>
        <w:gridCol w:w="854"/>
        <w:gridCol w:w="8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(53,458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(67,992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accretion of 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debt issuance costs and accretion of final payment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(46,404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88,545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Proceeds from issuance of common stock in at-the-market transactions, </w:t>
              <w:br/>
              <w:t>   net of commissions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182,530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147,072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128,073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Components of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147,072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147,072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128,073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amount of debt extinguished upon conversion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issuance costs reclassified to equity in connection with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pBdr/>
        <w:bidi w:val="0"/>
        <w:ind w:left="0" w:right="0" w:hanging="360"/>
        <w:jc w:val="both"/>
        <w:rPr>
          <w:rFonts w:ascii="Times New Roman" w:hAnsi="Times New Roman"/>
          <w:b/>
          <w:color w:val="000000"/>
          <w:sz w:val="20"/>
        </w:rPr>
      </w:pPr>
      <w:bookmarkStart w:id="8" w:name="organization_and_liquidity"/>
      <w:bookmarkEnd w:id="8"/>
      <w:r>
        <w:rPr>
          <w:rFonts w:ascii="Times New Roman" w:hAnsi="Times New Roman"/>
          <w:b/>
          <w:color w:val="000000"/>
          <w:sz w:val="20"/>
        </w:rPr>
        <w:t>1. Organization and Liquidity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Neumora Therapeutics, Inc. (the “Company”), was originally incorporated in the State of Delaware in November 2019, and is headquartered in Watertown, Massachusetts. The Company is a clinical-stage biopharmaceutical company founded to confront the greatest medical challenges of our generation by bringing forward the next generation of novel therapies with brain-penetrant chemistry that offer improved treatment outcomes and quality of life for patients. The Company’s therapeutic pipeline currently consists of programs that target novel mechanisms of action for a broad range of underserved, prevalent diseases. The Company is advancing a Phase 3 program for navacaprant, a novel once-daily oral kappa opioid receptor (“KOR”) antagonist that is being developed for the treatment of major depressive disorder (“MDD”), which the Company believes has the potential to provide significant advantages relative to the standard of care, if approved. The Company is also advancing NMRA-511, a highly selective, novel antagonist of the vasopressin 1a receptor (“V1aR”) being developed for the treatment of agitation associated with dementia due to Alzheimer’s disease (“AD”). Beyond navacaprant and NMRA-511, Neumora is advancing a Phase 1 multiple-ascending dose (“MAD”) study of NMRA-898, a novel muscarinic acetylcholine receptor subtype 4 (“M4”) positive allosteric modulator (“PAM”) with potential best-in-class pharmacology for the treatment of schizophrenia. Additionally, Neumora is developing NMRA-215, a highly brain-penetrant, oral NLRP3 inhibitor for the treatment of obesity.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Company has devoted a significant portion of its financial resources and efforts to building its organization, acquiring technologies and companies, executing clinical and preclinical studies, conducting research and development, identifying and developing potential product candidates, building its precision neuroscience tools, organizing and staffing the Company, business planning, establishing, maintaining and protecting its intellectual property portfolio, raising capital and providing general and administrative support for these operations. The Company has not generated revenue from the sale of products.</w:t>
      </w:r>
    </w:p>
    <w:p>
      <w:pPr>
        <w:pStyle w:val="TextBody"/>
        <w:bidi w:val="0"/>
        <w:spacing w:before="360" w:after="283"/>
        <w:jc w:val="both"/>
        <w:rPr>
          <w:rFonts w:ascii="Times New Roman" w:hAnsi="Times New Roman"/>
          <w:sz w:val="20"/>
        </w:rPr>
      </w:pPr>
      <w:r>
        <w:rPr>
          <w:rFonts w:ascii="Times New Roman" w:hAnsi="Times New Roman"/>
          <w:b/>
          <w:color w:val="000000"/>
          <w:sz w:val="20"/>
        </w:rPr>
        <w:t>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net losses and negative cash flows from operations since inception and as of March 31, 2026, had an accumulated deficit of $1,237.6 million. As of March 31, 2026, the Company had cash and cash equivalents of $147.1 million, which are available to fund future operations. The Company believes that its existing cash and cash equivalents as of March 31, 2026 will be sufficient to support operations for at least the next 12 months from the date these condensed consolidated financial statements are issued.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Company expects to incur additional losses in the future as it continues its research and development efforts, advances its product candidates through preclinical and clinical development, expands its product pipeline, potentially seeks regulatory approval, prepares for potential commercialization, as well as hires additional personnel, protects its intellectual property and potentially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expects to finance its cash needs through a combination of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w:t>
      </w:r>
    </w:p>
    <w:p>
      <w:pPr>
        <w:pStyle w:val="TextBody"/>
        <w:pBdr/>
        <w:bidi w:val="0"/>
        <w:spacing w:before="360" w:after="283"/>
        <w:ind w:left="0" w:right="0" w:hanging="360"/>
        <w:jc w:val="both"/>
        <w:rPr>
          <w:rFonts w:ascii="Times New Roman" w:hAnsi="Times New Roman"/>
          <w:b/>
          <w:color w:val="000000"/>
          <w:sz w:val="20"/>
        </w:rPr>
      </w:pPr>
      <w:r>
        <w:rPr>
          <w:rFonts w:ascii="Times New Roman" w:hAnsi="Times New Roman"/>
          <w:b/>
          <w:color w:val="000000"/>
          <w:sz w:val="20"/>
        </w:rPr>
        <w:t>2. Summary of Significant Accounting Policies and Basis of Presentation</w:t>
      </w:r>
    </w:p>
    <w:p>
      <w:pPr>
        <w:pStyle w:val="TextBody"/>
        <w:bidi w:val="0"/>
        <w:spacing w:before="120" w:after="283"/>
        <w:jc w:val="both"/>
        <w:rPr>
          <w:rFonts w:ascii="Times New Roman" w:hAnsi="Times New Roman"/>
          <w:sz w:val="20"/>
        </w:rPr>
      </w:pPr>
      <w:r>
        <w:rPr>
          <w:rFonts w:ascii="Times New Roman" w:hAnsi="Times New Roman"/>
          <w:b/>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U.S. generally accepted accounting principles (“U.S. GAAP”) and applicable rules and regulations of the Securities and Exchange Commission (“SEC”) regarding interim financial reporting. The condensed consolidated financial statements include all accounts of the Company and its wholly owned subsidiaries. All intercompany transactions and balances have been eliminated in consolidation.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condensed consolidated balance sheet as of March 31, 2026, condensed consolidated statements of operations and comprehensive loss, statement of stockholders’ equity for the three months ended March 31, 2026 and 2025, and the condensed consolidated statements of cash flows for the three months ended March 31, 2026 and 2025,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normal recurring adjustments) that are necessary for the fair statement of the Company’s consolidated financial position, results of operations and cash flows for the periods presented. The results of operations for the three months ended March 31, 2026 are not necessarily indicative of the results to be expected for the full year or for any other future annual or interim period. The condensed consolidated balance sheet as of December 31, 2025 included herein was derived from the audited consolidated financial statements as of that date. These interim condensed consolidated financial statements should be read in conjunction with the Company’s audited consolidated financial statements as of and for the year ended December 31, 2025 included in the Company’s Annual Report on Form 10-K filed with the SEC on March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in the condensed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stock-based compensation, the measurement of right-of-use assets and lease liabilities and related incremental borrowing rate, and uncertain tax positions and the valuation allowance for net deferred tax assets. Actual results may differ from the Company’s estimates.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certain risks and uncertainties, including, but not limited to, changes in any of the following areas that the Company believes could have a material adverse effect on future financial position or results of operations: the Company's ability to successfully develop, manufacture, and market any approved products; the Company's ability to obtain regulatory approval from the U.S. Food and Drug Administration or foreign regulatory agencies prior to any commercial sales; new technological innovations; dependence on key personnel, protection of intellectual property; compliance with governmental regulations; uncertainty of market acceptance of any approved products; product liability; and the need to obtain additional financing.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condensed consolidated balance sheets are categorized in the fair value hierarchy based upon the lowest level of input that is significant to the fair value as follows:</w:t>
      </w:r>
    </w:p>
    <w:p>
      <w:pPr>
        <w:pStyle w:val="TextBody"/>
        <w:bidi w:val="0"/>
        <w:spacing w:before="200" w:after="283"/>
        <w:ind w:left="720" w:right="0" w:hanging="0"/>
        <w:jc w:val="both"/>
        <w:rPr>
          <w:rFonts w:ascii="Times New Roman" w:hAnsi="Times New Roman"/>
          <w:color w:val="000000"/>
          <w:sz w:val="20"/>
        </w:rPr>
      </w:pPr>
      <w:r>
        <w:rPr>
          <w:rFonts w:ascii="Times New Roman" w:hAnsi="Times New Roman"/>
          <w:color w:val="000000"/>
          <w:sz w:val="20"/>
        </w:rPr>
        <w:t>Level 1—Observable inputs such as unadjusted, quoted prices in active markets for identical assets or liabilities at the measurement date.</w:t>
      </w:r>
    </w:p>
    <w:p>
      <w:pPr>
        <w:pStyle w:val="TextBody"/>
        <w:bidi w:val="0"/>
        <w:spacing w:before="200" w:after="283"/>
        <w:ind w:left="720" w:right="0" w:hanging="0"/>
        <w:jc w:val="both"/>
        <w:rPr>
          <w:rFonts w:ascii="Times New Roman" w:hAnsi="Times New Roman"/>
          <w:color w:val="000000"/>
          <w:sz w:val="20"/>
        </w:rPr>
      </w:pPr>
      <w:r>
        <w:rPr>
          <w:rFonts w:ascii="Times New Roman" w:hAnsi="Times New Roman"/>
          <w:color w:val="000000"/>
          <w:sz w:val="20"/>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or liabilities in markets that are not active.</w:t>
      </w:r>
    </w:p>
    <w:p>
      <w:pPr>
        <w:pStyle w:val="TextBody"/>
        <w:bidi w:val="0"/>
        <w:spacing w:before="200" w:after="283"/>
        <w:ind w:left="720" w:right="0" w:hanging="0"/>
        <w:jc w:val="both"/>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 Expenses and Related Prepaid Assets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service providers conducting research and development services on its behalf, such as contract research organizations (“CROs”), preclinical testing organizations and contract manufacturing organizations (“CMOs”). Payments made prior to the receipt of goods or services to be used in research and development are capitalized, evaluated for current or long-term classification, and included in prepaid expenses and other current assets or other assets in the consolidated balance sheets based on when the goods are received or the services are expected to be received or consumed, and recognized in research and development expenses when they are realized.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required to estimate expenses resulting from its obligations under contracts with service providers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course of a clinical trial, the rate of expense recognition is adjusted if actual results differ from the Company’s estimates. The Company estimates accrued expenses as of each balance sheet date in its consolidated financial statements based on the facts and circumstances known at that time. The clinical trial accrual is dependent in part upon the timely and accurate reporting of CROs, CMOs and other service providers. Although the Company does not expect its estimates to be materially different from amounts actually incurred, its estimate may vary from the actual results. To date, the Company has not experienced material differences between its accrued expenses and actual expenses.</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0"/>
        <w:jc w:val="both"/>
        <w:rPr>
          <w:rFonts w:ascii="Times New Roman" w:hAnsi="Times New Roman"/>
          <w:color w:val="000000"/>
          <w:sz w:val="20"/>
        </w:rPr>
      </w:pPr>
      <w:r>
        <w:rPr>
          <w:rFonts w:ascii="Times New Roman" w:hAnsi="Times New Roman"/>
          <w:color w:val="000000"/>
          <w:sz w:val="20"/>
        </w:rPr>
        <w:t>In November 2024, the Financial Accounting Standards Board, or FASB, issued ASU 2024-04, Induced Conversions of Convertible Debt Instruments, which clarifies the requirements for determining whether certain settlements of convertible debt instruments should be accounted for as an induced conversion or extinguishment of convertible debt. The Company adopted this guidance prospectively in the quarter ended March 31, 2026. The adoption did not have a material impact on the Company’s consolidated financial statements.</w:t>
      </w:r>
    </w:p>
    <w:p>
      <w:pPr>
        <w:pStyle w:val="TextBody"/>
        <w:bidi w:val="0"/>
        <w:spacing w:before="0" w:after="280"/>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pStyle w:val="TextBody"/>
        <w:pBdr/>
        <w:bidi w:val="0"/>
        <w:spacing w:before="80" w:after="283"/>
        <w:ind w:left="0" w:right="0" w:hanging="360"/>
        <w:jc w:val="both"/>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the Company’s financial instruments, including prepaid expenses and other current assets, accounts payable, accrued liabilities and the current portion of operating lease liabilities approximate fair value due to the short-term nature of those instruments.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summarize the Company’s assets and liabilities measured at fair value on a recurring basis by level within the valuation hierarchy: </w:t>
      </w:r>
    </w:p>
    <w:p>
      <w:pPr>
        <w:pStyle w:val="TextBody"/>
        <w:bidi w:val="0"/>
        <w:jc w:val="both"/>
        <w:rPr/>
      </w:pPr>
      <w:r>
        <w:rPr/>
        <w:t> </w:t>
      </w:r>
    </w:p>
    <w:tbl>
      <w:tblPr>
        <w:tblW w:w="8538" w:type="dxa"/>
        <w:jc w:val="left"/>
        <w:tblInd w:w="0" w:type="dxa"/>
        <w:tblLayout w:type="fixed"/>
        <w:tblCellMar>
          <w:top w:w="28" w:type="dxa"/>
          <w:left w:w="28" w:type="dxa"/>
          <w:bottom w:w="28" w:type="dxa"/>
          <w:right w:w="28" w:type="dxa"/>
        </w:tblCellMar>
      </w:tblPr>
      <w:tblGrid>
        <w:gridCol w:w="3481"/>
        <w:gridCol w:w="146"/>
        <w:gridCol w:w="211"/>
        <w:gridCol w:w="676"/>
        <w:gridCol w:w="146"/>
        <w:gridCol w:w="146"/>
        <w:gridCol w:w="277"/>
        <w:gridCol w:w="458"/>
        <w:gridCol w:w="146"/>
        <w:gridCol w:w="146"/>
        <w:gridCol w:w="277"/>
        <w:gridCol w:w="458"/>
        <w:gridCol w:w="146"/>
        <w:gridCol w:w="146"/>
        <w:gridCol w:w="211"/>
        <w:gridCol w:w="676"/>
        <w:gridCol w:w="7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75,005</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538" w:type="dxa"/>
        <w:jc w:val="left"/>
        <w:tblInd w:w="0" w:type="dxa"/>
        <w:tblLayout w:type="fixed"/>
        <w:tblCellMar>
          <w:top w:w="28" w:type="dxa"/>
          <w:left w:w="28" w:type="dxa"/>
          <w:bottom w:w="28" w:type="dxa"/>
          <w:right w:w="28" w:type="dxa"/>
        </w:tblCellMar>
      </w:tblPr>
      <w:tblGrid>
        <w:gridCol w:w="3481"/>
        <w:gridCol w:w="146"/>
        <w:gridCol w:w="211"/>
        <w:gridCol w:w="676"/>
        <w:gridCol w:w="146"/>
        <w:gridCol w:w="146"/>
        <w:gridCol w:w="277"/>
        <w:gridCol w:w="458"/>
        <w:gridCol w:w="146"/>
        <w:gridCol w:w="146"/>
        <w:gridCol w:w="277"/>
        <w:gridCol w:w="458"/>
        <w:gridCol w:w="146"/>
        <w:gridCol w:w="146"/>
        <w:gridCol w:w="211"/>
        <w:gridCol w:w="676"/>
        <w:gridCol w:w="7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74,364</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Money market funds are highly liquid and actively traded marketable securities that generally transact at a stable $1.00 net asset value representing its estimated fair value. </w:t>
      </w:r>
    </w:p>
    <w:p>
      <w:pPr>
        <w:pStyle w:val="TextBody"/>
        <w:bidi w:val="0"/>
        <w:jc w:val="left"/>
        <w:rPr/>
      </w:pPr>
      <w:r>
        <w:rPr/>
        <w:t> </w:t>
      </w:r>
    </w:p>
    <w:p>
      <w:pPr>
        <w:pStyle w:val="TextBody"/>
        <w:pBdr/>
        <w:bidi w:val="0"/>
        <w:spacing w:before="160" w:after="283"/>
        <w:ind w:left="0" w:right="0" w:hanging="360"/>
        <w:jc w:val="both"/>
        <w:rPr>
          <w:rFonts w:ascii="Times New Roman" w:hAnsi="Times New Roman"/>
          <w:b/>
          <w:color w:val="000000"/>
          <w:sz w:val="20"/>
        </w:rPr>
      </w:pPr>
      <w:r>
        <w:rPr>
          <w:rFonts w:ascii="Times New Roman" w:hAnsi="Times New Roman"/>
          <w:b/>
          <w:color w:val="000000"/>
          <w:sz w:val="20"/>
        </w:rPr>
        <w:t>4. Debt</w:t>
      </w:r>
    </w:p>
    <w:p>
      <w:pPr>
        <w:pStyle w:val="TextBody"/>
        <w:pBdr/>
        <w:bidi w:val="0"/>
        <w:spacing w:before="120" w:after="283"/>
        <w:ind w:left="0" w:right="0" w:hanging="360"/>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2025, the Company entered into a loan and security agreement (as amended, the “Loan Agreement”) with K2 HealthVentures LLC (“K2HV”) providing up to $125.0 million in term loans (collectively, the “Term Loan”) across four tranches, subject to certain conditions. As of March 31, 2026, total gross proceeds of $60.0 million had been drawn under the Loan Agreement. For a full description of the facility's terms, amendments, and accounting treatment, see Note 5 in the Company's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matures on May 1, 2029. The Company is obligated to make interest-only payments for the first 36 months (or 48 months if the second tranche is funded), followed by interest and principal payments for the remaining 12 months. The Term Loan bears a variable interest rate equal to the greater of (i) 10.45% or (ii) the prime rate as quoted in The Wall Street Journal plus 2.95%.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minimum liquidity covenant under the Loan Agreement becomes effective July 1, 2026. The applicable minimum liquidity requirement will depend on the Company’s achievement of specified operational milestones and/or its market capitalization and will be equal to (i) 50% of the outstanding obligations under the Loan Agreement, (ii) 105% of the outstanding obligations under the Loan Agreement, or (iii) waived in full (i.e., zero).</w:t>
      </w:r>
    </w:p>
    <w:p>
      <w:pPr>
        <w:pStyle w:val="TextBody"/>
        <w:bidi w:val="0"/>
        <w:jc w:val="left"/>
        <w:rPr>
          <w:rFonts w:ascii="Times New Roman" w:hAnsi="Times New Roman"/>
          <w:color w:val="000000"/>
          <w:sz w:val="20"/>
        </w:rPr>
      </w:pPr>
      <w:r>
        <w:rPr>
          <w:rFonts w:ascii="Times New Roman" w:hAnsi="Times New Roman"/>
          <w:color w:val="000000"/>
          <w:sz w:val="20"/>
        </w:rPr>
        <w:t>The Company may prepay, at its option, all, but not less than all, of the Term Loan then outstanding plus the accrued and unpaid interest on the portion of principal so repaid, subject to a prepayment premium and end of term fee. Prior to full repayment of the Term Loan, K2HV may elect to convert up to $10.0 million of outstanding principal into shares of the Company’s common stock at a conversion price equal to the lesser of $0.8774 per share and the lowest effective price per share of the Company’s next equity financing. Pursuant to the amended Loan Agreement, K2HV was granted the option to convert an additional $2.5 million of outstanding principal into shares of the Company’s common stock at a conversion price equal to the lesser of $2.3906 per share and the lowest effective price per share in the Company’s next equity financing. No prepayment penalty applies to any principal amount converted into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K2HV converted a total of $3.95 million of outstanding principal under the Term Loan into common stock of the Company at a conversion price of $0.8774, resulting in the issuance of 4,501,936 shares of common stock to K2HV. In February 2026, K2HV delivered a conversion notice pursuant to which $2.05 million of outstanding principal under the Term Loan was converted into common stock of the Company at a conversion price of $0.8774, resulting in the issuance of 2,336,448 shares of common stock to K2HV.</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Loan Agreement are secured by a security interest in substantially all of its assets, other than certain intellectual property assets, and the Loan Agreement includes customary affirmative and negative covenants and standard events of default, including a material adverse event default. K2HV also retains the right to invest up to $5.0 million in future offerings of the Company's capital stock, subject to certain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carrying value of the Term Loan approximates fair value.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Outstanding debt consisted of the following:</w:t>
      </w:r>
    </w:p>
    <w:tbl>
      <w:tblPr>
        <w:tblW w:w="6183" w:type="dxa"/>
        <w:jc w:val="left"/>
        <w:tblInd w:w="0" w:type="dxa"/>
        <w:tblLayout w:type="fixed"/>
        <w:tblCellMar>
          <w:top w:w="28" w:type="dxa"/>
          <w:left w:w="28" w:type="dxa"/>
          <w:bottom w:w="28" w:type="dxa"/>
          <w:right w:w="28" w:type="dxa"/>
        </w:tblCellMar>
      </w:tblPr>
      <w:tblGrid>
        <w:gridCol w:w="4306"/>
        <w:gridCol w:w="146"/>
        <w:gridCol w:w="342"/>
        <w:gridCol w:w="1098"/>
        <w:gridCol w:w="2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term loan principal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Accreted final payment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debt,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the components of interest expense (in thousands):</w:t>
      </w:r>
    </w:p>
    <w:tbl>
      <w:tblPr>
        <w:tblW w:w="5533" w:type="dxa"/>
        <w:jc w:val="left"/>
        <w:tblInd w:w="0" w:type="dxa"/>
        <w:tblLayout w:type="fixed"/>
        <w:tblCellMar>
          <w:top w:w="28" w:type="dxa"/>
          <w:left w:w="28" w:type="dxa"/>
          <w:bottom w:w="28" w:type="dxa"/>
          <w:right w:w="28" w:type="dxa"/>
        </w:tblCellMar>
      </w:tblPr>
      <w:tblGrid>
        <w:gridCol w:w="3221"/>
        <w:gridCol w:w="146"/>
        <w:gridCol w:w="506"/>
        <w:gridCol w:w="1369"/>
        <w:gridCol w:w="291"/>
      </w:tblGrid>
      <w:tr>
        <w:trPr/>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final payment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interest expense related to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effective interest rate for the Term Loan for the three months ended March 31, 2026 was 13.7%.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principal payments, which include the final payment fee of $4.2 million, in connection with the Loan Agreement as of March 31, 2026 are as follows:</w:t>
      </w:r>
    </w:p>
    <w:p>
      <w:pPr>
        <w:pStyle w:val="TextBody"/>
        <w:bidi w:val="0"/>
        <w:jc w:val="left"/>
        <w:rPr/>
      </w:pPr>
      <w:r>
        <w:rPr/>
        <w:t> </w:t>
      </w:r>
    </w:p>
    <w:tbl>
      <w:tblPr>
        <w:tblW w:w="5683" w:type="dxa"/>
        <w:jc w:val="left"/>
        <w:tblInd w:w="0" w:type="dxa"/>
        <w:tblLayout w:type="fixed"/>
        <w:tblCellMar>
          <w:top w:w="28" w:type="dxa"/>
          <w:left w:w="28" w:type="dxa"/>
          <w:bottom w:w="28" w:type="dxa"/>
          <w:right w:w="28" w:type="dxa"/>
        </w:tblCellMar>
      </w:tblPr>
      <w:tblGrid>
        <w:gridCol w:w="3806"/>
        <w:gridCol w:w="146"/>
        <w:gridCol w:w="342"/>
        <w:gridCol w:w="1098"/>
        <w:gridCol w:w="29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principal payments including final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pBdr/>
        <w:bidi w:val="0"/>
        <w:spacing w:before="160" w:after="283"/>
        <w:ind w:left="0" w:right="0" w:hanging="360"/>
        <w:jc w:val="both"/>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both"/>
        <w:rPr/>
      </w:pPr>
      <w:r>
        <w:rPr/>
        <w:t> </w:t>
      </w:r>
    </w:p>
    <w:tbl>
      <w:tblPr>
        <w:tblW w:w="6405" w:type="dxa"/>
        <w:jc w:val="left"/>
        <w:tblInd w:w="0" w:type="dxa"/>
        <w:tblLayout w:type="fixed"/>
        <w:tblCellMar>
          <w:top w:w="28" w:type="dxa"/>
          <w:left w:w="28" w:type="dxa"/>
          <w:bottom w:w="28" w:type="dxa"/>
          <w:right w:w="28" w:type="dxa"/>
        </w:tblCellMar>
      </w:tblPr>
      <w:tblGrid>
        <w:gridCol w:w="3541"/>
        <w:gridCol w:w="146"/>
        <w:gridCol w:w="232"/>
        <w:gridCol w:w="743"/>
        <w:gridCol w:w="146"/>
        <w:gridCol w:w="146"/>
        <w:gridCol w:w="299"/>
        <w:gridCol w:w="96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grant funding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360"/>
        <w:jc w:val="both"/>
        <w:rPr>
          <w:rFonts w:ascii="Times New Roman" w:hAnsi="Times New Roman"/>
          <w:b/>
          <w:color w:val="000000"/>
          <w:sz w:val="20"/>
        </w:rPr>
      </w:pPr>
      <w:r>
        <w:rPr>
          <w:rFonts w:ascii="Times New Roman" w:hAnsi="Times New Roman"/>
          <w:b/>
          <w:color w:val="000000"/>
          <w:sz w:val="20"/>
        </w:rPr>
        <w:t>6. Acquisitions of Assets</w:t>
      </w:r>
    </w:p>
    <w:p>
      <w:pPr>
        <w:pStyle w:val="TextBody"/>
        <w:bidi w:val="0"/>
        <w:spacing w:before="120" w:after="283"/>
        <w:jc w:val="both"/>
        <w:rPr>
          <w:rFonts w:ascii="Times New Roman" w:hAnsi="Times New Roman"/>
          <w:sz w:val="20"/>
        </w:rPr>
      </w:pPr>
      <w:r>
        <w:rPr>
          <w:rFonts w:ascii="Times New Roman" w:hAnsi="Times New Roman"/>
          <w:b/>
          <w:color w:val="000000"/>
          <w:sz w:val="20"/>
        </w:rPr>
        <w:t>BlackThorn Therapeutics,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2020, the Company entered into an agreement and plan of merger (the “BlackThorn Merger Agreement”) to acquire all of the equity interests of BlackThorn Therapeutics, Inc. (“BlackThorn”). The Company acquired BlackThorn for its in-process research and development programs, including an antagonist of the kappa opioid receptor (“navacaprant” or “NMRA-140”) for the treatment of MDD and an antagonist of the vasopressin 1a receptor (“NMRA-511”) for the treatment of agitation in AD. Both navacaprant and NMRA-511 were exclusively licensed to BlackThorn by The Scripps Research Institute (“TSRI”). The acquisition was accounted for as an acquisition of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BlackThorn Merger Agreement requires the Company to pay the former stockholders of BlackThorn contingent consideration (i) with respect to navacaprant, in the form of development and regulatory approval milestones of up to an aggregate amount of $365.0 million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Company’s sole discretion, the BlackThorn Milestone payments may be settled in cash or shares of the Company, or a combination of both, subject to the provisions of the BlackThorn Merger Agreement, other than one development milestone in the amount of $10.0 million, which must be settled in cash. The Company settled in a combination of cash and shares the Phase 3 navacaprant dosing milestone in December 2023. None of the other BlackThorn Milestones have been achieved and no such amounts were deemed due or payable as of March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BlackThorn Carveout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May 2024, all of the BlackThorn Carveout Units were fully vested. The BlackThorn Carveout Units represent contingent consideration. The Company recognizes the contingent consideration obligation for the BlackThorn Carveout Units when the contingency is resolved, and the consideration becomes payable. The Company settled the Phase 3 navacaprant dosing milestone in December 2023. None of the other BlackThorn Milestones had been achieved and no such amounts were deemed due or payable as of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Amgen Inc.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the Company entered into two license agreements with Amgen Inc. (“Amgen”) pursuant to which it obtained exclusive, worldwide licenses to develop, manufacture, use, commercialize and distribute products containing compounds that are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directed to, in one case, CK1δ, and in the other case, glucocerebrosidase (“GCase”), both for the treatment of neurodegenerative diseases (the “Amgen License Agreements”) and related know-how and clinical material (collectively, the “Amgen IPR&amp;D Assets”). The Company accounted for these transactions as acquisitions of assets. Concurrently, the Company also executed a research collaboration agreement as well as a stock purchase agreement with Amgen. Both agreements were deemed to be separate transactions and not accounted for as part of the acquisition of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upfront consideration transferred to Amgen of 20.0 million shares of the Company’s Series A-2 convertible preferred stock, with an acquisition date fair value of $157.0 million was allocated to the Amgen IPR&amp;D Assets and expensed in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these two license agreements, Amgen is eligible to receive contingent consideration up to an aggregate of $360.0 million in commercial milestone payments per product payable in cash with a compound directed to CK1δ and up to an aggregate of $360.0 million in commercial milestone payments per product payable in cash with a compound directed to GCase, in each case, upon the achievement of certain sales thresholds and single digit royalties on potential future net sales, related to CK1δ or GCase (the “Amgen Milestones”). Such contingent consideration was not subject to liability classification and/or derivative accounting and will be recognized when the contingency is resolved, and the consideration becomes payable. As of March 31, 2026, none of the Amgen Milestones had been achieved and no such amounts were deemed due or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until a specified period of time following the achievement of the first successful Phase 2 clinical trial for any licensed product, if the Company chooses to sell, transfer, sublicense or divest rights to a licensed product in certain major markets, Amgen has a period of time to enter into an agreement with the Company for such rights. The Company determined that these rights of first negotiation were not freestanding instruments from the Amgen License Agreements and did not meet the definition of a derivative.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Vanderbilt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2022, the Company and Vanderbilt University (“Vanderbilt”) entered into a license agreement (the “Vanderbilt License Agreement”). Pursuant to the Vanderbilt License Agreement, as amended, the Company obtained an exclusive, worldwide royalty-bearing, sublicensable (subject to certain restrictions) license under certain patent rights and a non-exclusive, worldwide, royalty-bearing, sublicensable (subject to certain restrictions) license under certain know-how covering small molecule PAMs predominantly of the M4 subtype to develop, manufacture, and commercialize products, processes and services covered by such patent rights or that incorporate or use such know-how, for any and all uses (the “Vanderbilt IPR&amp;D Assets”). Concurrently, the Company also executed a sponsored research agreement (see Note 8) with Vanderbilt.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the Company and Vanderbilt entered into a second sponsored research agreement with Vanderbilt and concurrently entered into an amendment to the Vanderbilt License Agreement (the “Second Amendment to the Vanderbilt License Agreement”), to extend the rights granted to the Company under the Vanderbilt License Agreement to the data and patent rights conceived or developed by Vanderbilt in the course of carrying out the sponsored research pursuant to the second sponsored research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licensed patent rights are subject to Vanderbilt’s right to use the patent rights for research, internal non-commercial use, and educational purposes. The Company intends to develop the PAMs for the treatment of schizophrenia and other neuropsychiatric disorders. The Company has agreed to use commercially reasonable efforts to develop and commercialize licensed products, and to achieve certain development milestones.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paid Vanderbilt a non-refundable, non-creditable upfront cash payment of $13.0 million for the Vanderbilt IPR&amp;D Assets. Under the Vanderbilt License Agreement, Vanderbilt is eligible to receive contingent consideration payable in cash up to an aggregate of $42.0 million upon the achievement of specified development milestones and up to an aggregate of $380.0 million upon the achievement of commercial milestone events as well as tiered royalties at mid-single digit percentages on potential future net sales, subject to specified reductions for the lack of patent coverage, generic entry and payment obligations for third-party licenses (the “Vanderbilt Milestones”). Such contingent consideration was not subject to liability classification and/or derivative accounting and will be recognized when the contingency is resolved, and the consideration becomes payable.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Vanderbilt Milestones of $2.0 million and $5.0 million were achieved and settled in cash in October 2023 and July 2025, respectively. None of the other Vanderbilt Milestones had been achieved and no such amounts were deemed due or payable as of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 executed an agreement with Vanderbilt in December 2023 pursuant to which the Company licensed certain patent rights in return for a payment of $0.8 million that was recognized in acquired in-process research and developed expenses in 2023.</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pBdr/>
        <w:bidi w:val="0"/>
        <w:spacing w:before="360" w:after="283"/>
        <w:ind w:left="0" w:right="0" w:hanging="360"/>
        <w:jc w:val="both"/>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law. The Company currently has directors’ and officers’ insurance.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pStyle w:val="TextBody"/>
        <w:pBdr/>
        <w:bidi w:val="0"/>
        <w:spacing w:before="360" w:after="120"/>
        <w:ind w:left="0" w:right="0" w:hanging="360"/>
        <w:jc w:val="both"/>
        <w:rPr>
          <w:rFonts w:ascii="Times New Roman" w:hAnsi="Times New Roman"/>
          <w:b/>
          <w:color w:val="000000"/>
          <w:sz w:val="20"/>
        </w:rPr>
      </w:pPr>
      <w:r>
        <w:rPr>
          <w:rFonts w:ascii="Times New Roman" w:hAnsi="Times New Roman"/>
          <w:b/>
          <w:color w:val="000000"/>
          <w:sz w:val="20"/>
        </w:rPr>
        <w:t>8. Strategic License and Research and Collaboration Agreements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2015 TSRI 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acquisition of BlackThorn (see Note 6), the Company gained certain exclusive rights to intellectual property related to Kappa Opioid Receptor and V1aR Receptor Antagonist programs as well as an oxytocin receptors positive allosteric modulator program (collectively, the “TSRI Programs”) under a license agreement between BlackThorn and TSRI originally entered into in November 2015 (as amended, the “2015 TSRI License Agreement”). The technology licensed under the 2015 TSRI License Agreement is used in the Company’s navacaprant and NMRA-511 research and development programs.</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Pursuant to the 2015 TSRI License Agreement, the Company is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in the mid-single digits of any sublicensing revenues the Company receives. In 2023, the Phase 3 navacaprant dosing milestone was met and the Company paid $0.3 million to TSRI, which was recognized in acquired in-process research and developed expenses in 2023. None of the other milestones have been achieved and no royalties were due under the 2015 TSRI License Agreement as of March 31, 2026.</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Parkinson’s Research Ventures Funding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March 2024, the Company entered into a research funding agreement with Parkinson’s Research Ventures Limited (“PRV”), pursuant to which PRV agreed to provide the Company funding up to a total of $2.6 million in two tranches to carry out preclinical research and development activities related to the Company’s NLPR3 program.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first tranche was due upon execution of the agreement and was received in March 2024, for $1.1 million. The Company notified PRV of a successful drug candidate nomination, the trigger for the second tranche of funding, in December 2024 and received payment of $1.5 million in January 2025.</w:t>
      </w:r>
    </w:p>
    <w:p>
      <w:pPr>
        <w:pStyle w:val="TextBody"/>
        <w:bidi w:val="0"/>
        <w:jc w:val="left"/>
        <w:rPr>
          <w:rFonts w:ascii="Times New Roman" w:hAnsi="Times New Roman"/>
          <w:color w:val="000000"/>
          <w:sz w:val="20"/>
        </w:rPr>
      </w:pPr>
      <w:r>
        <w:rPr>
          <w:rFonts w:ascii="Times New Roman" w:hAnsi="Times New Roman"/>
          <w:color w:val="000000"/>
          <w:sz w:val="20"/>
        </w:rPr>
        <w:t>The Company concluded the funding arrangement was an obligation to perform services and the funding received is recognized as a contra-R&amp;D expense as project costs are incurred. The Company incurred costs of $0.1 million and $0.2 million during the three months ended March 31, 2026 and 2025, respectively. $0.1 million of funding received net of costs incurred is reflected as deferred funding within the condensed consolidated balance sheet.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Upon achievement of certain development, regulatory or commercial trigger events, the Company agreed to pay PRV in aggregate an amount equal to no more than four times the funding provided by PRV, i.e., a maximum repayment amount of up to £8.4 million.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trigger event payments meet the derivative scope exception under ASC 815 </w:t>
      </w:r>
      <w:r>
        <w:rPr>
          <w:rFonts w:ascii="Times New Roman" w:hAnsi="Times New Roman"/>
          <w:i/>
          <w:color w:val="000000"/>
          <w:sz w:val="20"/>
        </w:rPr>
        <w:t>Derivatives and Hedging,</w:t>
      </w:r>
      <w:r>
        <w:rPr>
          <w:rFonts w:ascii="Times New Roman" w:hAnsi="Times New Roman"/>
          <w:color w:val="000000"/>
          <w:sz w:val="20"/>
        </w:rPr>
        <w:t xml:space="preserve"> and therefore do not need to be bifurcated and separately accounted for.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The Michael J. Fox Foundation for Parkinson’s Research Funding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entered into two research funding agreements with The Michael J. Fox Foundation for Parkinson's Research ("MJFF") to support preclinical research and development activities across its Parkinson's disease pipeline.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CK1d Program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2024, the Company entered into a funding agreement pursuant to which MJFF agreed to provide funding to support the Company's CK1d program for the treatment of Parkinson's disease. The funding is payable in four equal tranches of $0.4 million each, for total funding of $1.7 million. As of March 31, 2026, $1.3 million in funding has been received with the final payment expected in August 2026. Upon achievement of certain development, regulatory, or commercial milestone events, the Company is obligated to make payments to MJFF in an aggregate amount not to exceed two times the total funding provided, representing a maximum repayment obligation of $3.3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GCase Program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entered into a funding agreement pursuant to which MJFF agreed to provide up to $3.3 million in funding, payable in two tranches, to support the Company's GCase program for the treatment of Parkinson's disease. The first tranche of $1.7 million was received in November 2025, with the second tranche of $1.6 million expected to be received in May 2026. Upon achievement of certain development, regulatory, or commercial milestone events, the Company is obligated to make payments to MJFF in an aggregate amount not to exceed two times the total funding provided, representing a maximum repayment obligation of $6.6 million.</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Company evaluated the nature of both funding arrangements and concluded that each represents an obligation to perform services rather than a contribution or loan. Accordingly, funding received under each agreement is deferred until project costs are incurred, at which point it is recognized as a reduction of research and development expense. During the three months ended March 31, 2026, the Company incurred costs of $0.4 million across the two programs. $2.2 million of aggregate funding received, net of costs incurred, is reflected as deferred funding within the condensed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assessed whether the contingent payment obligations under both agreements represent embedded derivatives requiring bifurcation under ASC 815, Derivatives and Hedging. The Company concluded that the obligations under each agreement qualify for the derivative scope exception under ASC 815 and therefore are not required to be bifurcated and accounted for separately.</w:t>
      </w:r>
    </w:p>
    <w:p>
      <w:pPr>
        <w:pStyle w:val="TextBody"/>
        <w:pBdr/>
        <w:bidi w:val="0"/>
        <w:spacing w:before="360" w:after="283"/>
        <w:ind w:left="0" w:right="0" w:hanging="360"/>
        <w:jc w:val="both"/>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has the authority to issue up to 50,000,000 shares of preferred stock in one or more series with rights, preferences and privileges to be determined. There were no shares of preferred stock issued and outstanding as of March 31, 2026.</w:t>
      </w:r>
    </w:p>
    <w:p>
      <w:pPr>
        <w:pStyle w:val="TextBody"/>
        <w:pBdr/>
        <w:bidi w:val="0"/>
        <w:spacing w:before="120" w:after="283"/>
        <w:ind w:left="0" w:right="0" w:hanging="36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stock outstanding in the condensed consolidated balance sheet and condensed consolidated statement of stockholders’ equity as of March 31, 2026 includes 57,529 shares of restricted stock that vest based on service conditions and are subject to the Company’s right of repurchase upon termination of services. Common stock reserved for future issuance consisted of the following:</w:t>
      </w:r>
    </w:p>
    <w:p>
      <w:pPr>
        <w:pStyle w:val="TextBody"/>
        <w:bidi w:val="0"/>
        <w:jc w:val="both"/>
        <w:rPr/>
      </w:pPr>
      <w:r>
        <w:rPr/>
        <w:t> </w:t>
      </w:r>
    </w:p>
    <w:tbl>
      <w:tblPr>
        <w:tblW w:w="8558" w:type="dxa"/>
        <w:jc w:val="left"/>
        <w:tblInd w:w="0" w:type="dxa"/>
        <w:tblLayout w:type="fixed"/>
        <w:tblCellMar>
          <w:top w:w="28" w:type="dxa"/>
          <w:left w:w="28" w:type="dxa"/>
          <w:bottom w:w="28" w:type="dxa"/>
          <w:right w:w="28" w:type="dxa"/>
        </w:tblCellMar>
      </w:tblPr>
      <w:tblGrid>
        <w:gridCol w:w="6781"/>
        <w:gridCol w:w="146"/>
        <w:gridCol w:w="255"/>
        <w:gridCol w:w="1185"/>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options and restricted stock units issued under the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Company may be required to issue additional shares of its capital stock if certain milestone conditions are met pursuant to the contingent consideration associated with the Company’s acquisitions of assets (see Note 6). In December 2023, 6,072,445 shares of common stock were issued related to BlackThorn Merger Agreement upon achievement of the Phase 3 navacaprant dosing milestone that was met in October 2023. As of March 31, 2026, no shares have been reserved for potential future issuances as no other BlackThorn Milestones have been achieved. </w:t>
      </w:r>
    </w:p>
    <w:p>
      <w:pPr>
        <w:pStyle w:val="TextBody"/>
        <w:pBdr/>
        <w:bidi w:val="0"/>
        <w:spacing w:before="360" w:after="283"/>
        <w:ind w:left="0" w:right="0" w:hanging="360"/>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2023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2023, the Company adopted the 2023 Equity Incentive Plan (“2023 Plan”). The 2023 Plan provides for the grant of stock options, restricted stock awards, restricted stock unit awards, and other stock-based awards to employees, directors, and non-employee service providers of the Company. The 2023 Plan replaced the Company’s 2020 Equity Incentive Plan (“2020 Plan”). The Company no longer grants stock options or other awards under its 2020 Plan, but any stock options outstanding under the 2020 Plan remain outstanding and effective in accordance with their terms. Awards granted under the 2023 Plan expire no later than ten years from the date of grant. The price of stock options shall not be less than 100% of the estimated fair value on the date of grant and typically vest over a four-year period although may be granted with different vesting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2023 Plan provides for an annual increase, to be added on the first day of each fiscal year, by up to 5% of the Company’s outstanding shares of common stock as of the last day of the prior year. On January 1, 2026, the number of shares of common stock available for issuance under the 2023 Plan increased by 8,713,017 shares as a result of the automatic increase provision of the 2023 Plan. </w:t>
      </w:r>
    </w:p>
    <w:p>
      <w:pPr>
        <w:pStyle w:val="TextBody"/>
        <w:bidi w:val="0"/>
        <w:spacing w:before="360" w:after="283"/>
        <w:jc w:val="both"/>
        <w:rPr>
          <w:rFonts w:ascii="Times New Roman" w:hAnsi="Times New Roman"/>
          <w:sz w:val="20"/>
        </w:rPr>
      </w:pPr>
      <w:r>
        <w:rPr>
          <w:rFonts w:ascii="Times New Roman" w:hAnsi="Times New Roman"/>
          <w:b/>
          <w:i/>
          <w:color w:val="000000"/>
          <w:sz w:val="20"/>
        </w:rPr>
        <w:t>2023 Employee Share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2023, the Company adopted the 2023 Employee Share Purchase Plan (“ESPP”). The Company may hold one or more offering periods each year during which employees will be able to purchase shares under the ESPP through payroll deductions made over the term of the offering. The per-share purchase price at the end of each offering period is equal to the lesser of 85% of the closing price of the Company's common stock at the beginning or end of the offering period. On January 1, 2026, the number of shares of common stock available for issuance under the ESPP increased by 1,742,603 shares as a result of the automatic increase provision of the ESPP. No shares were issued under the ESPP during the three months ended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 Option Activity</w:t>
      </w:r>
    </w:p>
    <w:p>
      <w:pPr>
        <w:pStyle w:val="TextBody"/>
        <w:bidi w:val="0"/>
        <w:jc w:val="both"/>
        <w:rPr/>
      </w:pPr>
      <w:r>
        <w:rPr/>
        <w:t> </w:t>
      </w:r>
    </w:p>
    <w:tbl>
      <w:tblPr>
        <w:tblW w:w="9056" w:type="dxa"/>
        <w:jc w:val="left"/>
        <w:tblInd w:w="0" w:type="dxa"/>
        <w:tblLayout w:type="fixed"/>
        <w:tblCellMar>
          <w:top w:w="28" w:type="dxa"/>
          <w:left w:w="28" w:type="dxa"/>
          <w:bottom w:w="28" w:type="dxa"/>
          <w:right w:w="28" w:type="dxa"/>
        </w:tblCellMar>
      </w:tblPr>
      <w:tblGrid>
        <w:gridCol w:w="3166"/>
        <w:gridCol w:w="146"/>
        <w:gridCol w:w="225"/>
        <w:gridCol w:w="1050"/>
        <w:gridCol w:w="166"/>
        <w:gridCol w:w="146"/>
        <w:gridCol w:w="304"/>
        <w:gridCol w:w="672"/>
        <w:gridCol w:w="146"/>
        <w:gridCol w:w="146"/>
        <w:gridCol w:w="349"/>
        <w:gridCol w:w="866"/>
        <w:gridCol w:w="146"/>
        <w:gridCol w:w="146"/>
        <w:gridCol w:w="267"/>
        <w:gridCol w:w="724"/>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 xml:space="preserve">Intrinsic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 and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stock option activity table above excludes options to purchase 446,068 shares of common stock that were originally granted with market conditions to one of the Company’s executives.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Option Repricing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13, 2025 (the “Effective Date”), the Company’s Board of Directors approved an option repricing (the “Repricing”) of the outstanding stock options held by members of the Board, certain employees and other service providers, including the Company’s named executive officers, subject to shareholder approval, which was obtained at the Annual Meeting of Stockholders on May 28,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(the “Modification Date”). Under the Repricing, the exercise price of each outstanding stock option under the Company’s 2023 Plan and 2020 Plan with an exercise price per share greater than $0.72 (the closing trading price of a share of the Company’s common stock on the Nasdaq Stock Market on May 28, 2025) held by those individuals eligible for the Repricing was repriced to $0.72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Repricing, a repriced option will revert to its original exercise price if certain events occur prior to the 18 month anniversary of the effective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Repricing resulted in $4.2 million of incremental stock compensation expense, which was calculated using the Black-Scholes option-pricing model. $2.4 million of the incremental compensation cost related to unvested stock options as of the Modification Date, will be recognized on a straight line basis over the remaining requisite service period of the respective option, and $1.8 million of incremental compensation cost related to vested stock options will be recognized on a straight line basis over the remaining vesting period of the repriced options. Of the incremental compensation cost, $0.5 million was recognized in the three months ended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Restricted Stock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Plans allow for the grant of restricted common stock and restricted stock units to certain employees, executives, non-employee scientific advisors, and third-party service providers. The restrictions lapse over time primarily according to service-based vesting conditions of each award. In the event of a voluntary or involuntary termination of the holder’s continuous provision of services to the Company, any unvested portion of the restricted stock award is automatically forfeited.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restricted stock activity:</w:t>
      </w:r>
    </w:p>
    <w:p>
      <w:pPr>
        <w:pStyle w:val="TextBody"/>
        <w:bidi w:val="0"/>
        <w:jc w:val="both"/>
        <w:rPr/>
      </w:pPr>
      <w:r>
        <w:rPr/>
        <w:t> </w:t>
      </w:r>
    </w:p>
    <w:tbl>
      <w:tblPr>
        <w:tblW w:w="10096" w:type="dxa"/>
        <w:jc w:val="left"/>
        <w:tblInd w:w="0" w:type="dxa"/>
        <w:tblLayout w:type="fixed"/>
        <w:tblCellMar>
          <w:top w:w="28" w:type="dxa"/>
          <w:left w:w="28" w:type="dxa"/>
          <w:bottom w:w="28" w:type="dxa"/>
          <w:right w:w="28" w:type="dxa"/>
        </w:tblCellMar>
      </w:tblPr>
      <w:tblGrid>
        <w:gridCol w:w="4291"/>
        <w:gridCol w:w="146"/>
        <w:gridCol w:w="268"/>
        <w:gridCol w:w="693"/>
        <w:gridCol w:w="166"/>
        <w:gridCol w:w="146"/>
        <w:gridCol w:w="283"/>
        <w:gridCol w:w="767"/>
        <w:gridCol w:w="146"/>
        <w:gridCol w:w="146"/>
        <w:gridCol w:w="223"/>
        <w:gridCol w:w="738"/>
        <w:gridCol w:w="166"/>
        <w:gridCol w:w="146"/>
        <w:gridCol w:w="372"/>
        <w:gridCol w:w="1008"/>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w:t>
              <w:br/>
              <w:t>Restricted</w:t>
              <w:b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w:t>
              <w:b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Grant</w:t>
              <w:br/>
              <w:t>Date Fair</w:t>
              <w:br/>
              <w:t>Value Per</w:t>
              <w:br/>
              <w:t>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unvested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total stock-based compensation included in the Company’s condensed consolidated statements of operations and comprehensive loss:</w:t>
      </w:r>
    </w:p>
    <w:p>
      <w:pPr>
        <w:pStyle w:val="TextBody"/>
        <w:bidi w:val="0"/>
        <w:jc w:val="both"/>
        <w:rPr/>
      </w:pPr>
      <w:r>
        <w:rPr/>
        <w:t> </w:t>
      </w:r>
    </w:p>
    <w:tbl>
      <w:tblPr>
        <w:tblW w:w="5871" w:type="dxa"/>
        <w:jc w:val="left"/>
        <w:tblInd w:w="0" w:type="dxa"/>
        <w:tblLayout w:type="fixed"/>
        <w:tblCellMar>
          <w:top w:w="28" w:type="dxa"/>
          <w:left w:w="28" w:type="dxa"/>
          <w:bottom w:w="28" w:type="dxa"/>
          <w:right w:w="28" w:type="dxa"/>
        </w:tblCellMar>
      </w:tblPr>
      <w:tblGrid>
        <w:gridCol w:w="2746"/>
        <w:gridCol w:w="146"/>
        <w:gridCol w:w="317"/>
        <w:gridCol w:w="858"/>
        <w:gridCol w:w="219"/>
        <w:gridCol w:w="219"/>
        <w:gridCol w:w="317"/>
        <w:gridCol w:w="858"/>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there was $38.0 million and $8.2 million of unrecognized stock-based compensation related to stock options and restricted stock outstanding, respectively, including stock options and restricted common stock for which achievement of milestones was not probable, which were expected to be recognized over a weighted-average remaining service period of 2.4 years and 1.8 years,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(“CODM”), or decision-making group, in making decisions on how to allocate resources and assess performance. The Company views its operations and manages its business in one operating segment related to the development of clinical and preclinical neuroscience programs that target novel mechanisms of action for a broad range of underserved neuropsychiatric disorders and neurodegenerative diseases. The Company’s Chief Executive Officer (CEO) serves as the CODM.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CEO manages and allocates resources to the operations of the Company on a consolidated basis. Managing and allocating resources on a consolidated basis enables the CEO to assess the overall level of resources available and how to best deploy these resources across functions and research and development projects that are in line with the Company’s strategic goals. Consistent with this decision-making process, the CEO uses consolidated financial information for purposes of evaluating performance, cash forecasting, allocating resources and setting incentive targets. The CEO bases this assessment on the Company’s consolidated net loss. Through this analysis, the CEO assesses performance by comparing budget to actual results, and then decides how to allocate resources to invest in the Company’s research and development programs. The measure of segment assets is reported on the consolidated balance sheets as total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w:t>
      </w:r>
    </w:p>
    <w:p>
      <w:pPr>
        <w:pStyle w:val="TextBody"/>
        <w:bidi w:val="0"/>
        <w:jc w:val="both"/>
        <w:rPr/>
      </w:pPr>
      <w:r>
        <w:rPr/>
        <w:t> </w:t>
      </w:r>
    </w:p>
    <w:tbl>
      <w:tblPr>
        <w:tblW w:w="7960" w:type="dxa"/>
        <w:jc w:val="left"/>
        <w:tblInd w:w="0" w:type="dxa"/>
        <w:tblLayout w:type="fixed"/>
        <w:tblCellMar>
          <w:top w:w="28" w:type="dxa"/>
          <w:left w:w="28" w:type="dxa"/>
          <w:bottom w:w="28" w:type="dxa"/>
          <w:right w:w="28" w:type="dxa"/>
        </w:tblCellMar>
      </w:tblPr>
      <w:tblGrid>
        <w:gridCol w:w="4416"/>
        <w:gridCol w:w="346"/>
        <w:gridCol w:w="225"/>
        <w:gridCol w:w="788"/>
        <w:gridCol w:w="391"/>
        <w:gridCol w:w="370"/>
        <w:gridCol w:w="225"/>
        <w:gridCol w:w="788"/>
        <w:gridCol w:w="411"/>
      </w:tblGrid>
      <w:tr>
        <w:trPr/>
        <w:tc>
          <w:tcPr>
            <w:tcW w:w="44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Navacaprant (NMRA-140) program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M4 PAM programs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NMRA-511 program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Preclinical programs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personnel-related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Includes other research and development costs, provision for income taxes, and other income (expense).</w:t>
      </w:r>
    </w:p>
    <w:p>
      <w:pPr>
        <w:pStyle w:val="TextBody"/>
        <w:bidi w:val="0"/>
        <w:jc w:val="left"/>
        <w:rPr/>
      </w:pPr>
      <w:r>
        <w:rPr/>
        <w:t> </w:t>
      </w:r>
    </w:p>
    <w:p>
      <w:pPr>
        <w:pStyle w:val="TextBody"/>
        <w:bidi w:val="0"/>
        <w:jc w:val="left"/>
        <w:rPr/>
      </w:pPr>
      <w:r>
        <w:rPr/>
        <w:t> </w:t>
      </w:r>
    </w:p>
    <w:p>
      <w:pPr>
        <w:pStyle w:val="TextBody"/>
        <w:pBdr/>
        <w:bidi w:val="0"/>
        <w:spacing w:before="360" w:after="283"/>
        <w:ind w:left="0" w:right="0" w:hanging="360"/>
        <w:jc w:val="both"/>
        <w:rPr>
          <w:rFonts w:ascii="Times New Roman" w:hAnsi="Times New Roman"/>
          <w:sz w:val="20"/>
        </w:rPr>
      </w:pPr>
      <w:r>
        <w:rPr>
          <w:rFonts w:ascii="Times New Roman" w:hAnsi="Times New Roman"/>
          <w:b/>
          <w:color w:val="000000"/>
          <w:sz w:val="20"/>
        </w:rPr>
        <w:t>12.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5401"/>
        <w:gridCol w:w="146"/>
        <w:gridCol w:w="322"/>
        <w:gridCol w:w="1195"/>
        <w:gridCol w:w="253"/>
        <w:gridCol w:w="222"/>
        <w:gridCol w:w="322"/>
        <w:gridCol w:w="1195"/>
        <w:gridCol w:w="2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179,872</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NEUMORA Therapeutics, Inc.</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potentially dilutive common stock equivalents were excluded from the computation of diluted net loss per share for the periods presented because including them would have been antidilutive:</w:t>
      </w:r>
    </w:p>
    <w:p>
      <w:pPr>
        <w:pStyle w:val="TextBody"/>
        <w:bidi w:val="0"/>
        <w:jc w:val="both"/>
        <w:rPr/>
      </w:pPr>
      <w:r>
        <w:rPr/>
        <w:t> </w:t>
      </w:r>
    </w:p>
    <w:tbl>
      <w:tblPr>
        <w:tblW w:w="6789" w:type="dxa"/>
        <w:jc w:val="left"/>
        <w:tblInd w:w="0" w:type="dxa"/>
        <w:tblLayout w:type="fixed"/>
        <w:tblCellMar>
          <w:top w:w="28" w:type="dxa"/>
          <w:left w:w="28" w:type="dxa"/>
          <w:bottom w:w="28" w:type="dxa"/>
          <w:right w:w="28" w:type="dxa"/>
        </w:tblCellMar>
      </w:tblPr>
      <w:tblGrid>
        <w:gridCol w:w="4516"/>
        <w:gridCol w:w="146"/>
        <w:gridCol w:w="146"/>
        <w:gridCol w:w="676"/>
        <w:gridCol w:w="146"/>
        <w:gridCol w:w="146"/>
        <w:gridCol w:w="146"/>
        <w:gridCol w:w="67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stock options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conversion election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231F20"/>
          <w:sz w:val="20"/>
        </w:rPr>
      </w:pPr>
      <w:bookmarkStart w:id="9" w:name="item_7_managements_discussion"/>
      <w:bookmarkEnd w:id="9"/>
      <w:r>
        <w:rPr>
          <w:rFonts w:ascii="Times New Roman" w:hAnsi="Times New Roman"/>
          <w:b/>
          <w:color w:val="231F2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the unaudited condensed consolidated financial statements and related notes included elsewhere in this Quarterly Report on Form 10-Q, as well as our audited consolidated financial statements and notes thereto and the related Management's Discussion and Analysis of Financial Condition and Results of Operations included in our Annual Report on Form 10-K for the year ended December 31, 2025 filed with the Securities and Exchange Commission (“SEC”) on March 30, 2026. This discussion and analysis contains forward-looking statements based upon current beliefs, plans, and expectations related to future events and our future performance that involves risks, uncertainties, and assumptions, such as statements regarding our intentions, plans, objectives, and expectations for our business. Our actual results and the timing of selected events could differ materially from those discussed in the forward-looking statements as a result of several factors including those set forth in the section titled “Risk Factors.” See also the section titled “Special Note Regarding Forward-Looking Statements”.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biopharmaceutical company founded to confront the greatest medical challenges of our generation by bringing forward the next generation of novel therapies with brain-penetrant chemistry that offer improved treatment outcomes and quality of life for patients. Our therapeutic pipeline currently consists of programs that target novel mechanisms of action for a broad range of underserved, prevalent diseases. We are advancing a Phase 3 program for navacaprant, a novel once-daily oral kappa opioid receptor (“KOR”) antagonist that is being developed for the treatment of major depressive disorder (“MDD”), which we believe has the potential to provide significant advantages relative to the standard of care, if approved. We are also advancing NMRA-511, a highly selective, novel antagonist of the vasopressin 1a receptor (“V1aR”) being developed for the treatment of agitation associated with dementia due to Alzheimer’s disease (“AD”). Beyond navacaprant and NMRA-511, Neumora is advancing NMRA-898, a novel muscarinic acetylcholine receptor subtype 4 (“M4”) positive allosteric modulator (“PAM”) with potential best in class pharmacology for the treatment of schizophrenia. Additionally, Neumora is developing NMRA-215, a highly brain-penetrant, oral NLRP3 inhibitor for the treatment of obesity. We expect several updates from these programs throughout 2026, including to report Phase 3 KOASTAL-2 and -3 topline data in the second quarter of 2026, report multiple ascending dose (“MAD”) extension data with NMRA-511 in the second half of 2026, and to report MAD data with NMRA-898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pipeline is shown in the table below.</w:t>
      </w:r>
    </w:p>
    <w:p>
      <w:pPr>
        <w:pStyle w:val="TextBody"/>
        <w:bidi w:val="0"/>
        <w:spacing w:before="120" w:after="283"/>
        <w:jc w:val="center"/>
        <w:rPr/>
      </w:pPr>
      <w:r>
        <w:rPr/>
        <w:drawing>
          <wp:inline distT="0" distB="0" distL="0" distR="0">
            <wp:extent cx="6858000" cy="3057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05752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i/>
          <w:color w:val="000000"/>
          <w:sz w:val="19"/>
        </w:rPr>
        <w:t>ALS = Amyotrophic lateral sclerosis; CK1δ= Casein Kinase I Isoform delta; GCase = Glucocerebrosidase; KOR = kappa opioid receptor; M4 = Muscarinic Acetylcholine Receptor M4; NLRP3 = Nucleotide-binding Domain, Leucine-rich–containing Family, Pyrin Domain–containing-3; V1aR = Vasopressin 1a Receptor; DIO = diet induced obesity mouse model.</w:t>
      </w:r>
      <w:r>
        <w:rPr>
          <w:rFonts w:ascii="Times New Roman" w:hAnsi="Times New Roman"/>
          <w:color w:val="000000"/>
          <w:sz w:val="20"/>
        </w:rPr>
        <w:t xml:space="preserve"> </w:t>
      </w:r>
    </w:p>
    <w:p>
      <w:pPr>
        <w:pStyle w:val="TextBody"/>
        <w:bidi w:val="0"/>
        <w:ind w:left="100" w:right="0" w:firstLine="72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incorporated in November 2019 and commenced operations thereafter. To date, we have focused primarily on building our organization, acquiring technologies and companies, developing our precision neuroscience approach, identifying and developing potential product candidates, executing clinical and preclinical studies, organizing and staffing our company, business planning, establishing our intellectual property portfolio, raising capital and providing general and administrative support for these operations. We do not have any products approved for sale, we have not generated any revenue from the sale of products, and we do not expect to generate revenue from the sale of our product candidates until we complete clinical development, submit regulatory filings, and receive approvals from the applicable regulatory bodies for such product candidates, if ever.</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Acquisitions of Assets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have completed various acquisitions. For details regarding our acquisitions, see Note 6 – Acquisitions of Assets to our condensed consolidated financial statements included elsewhere in this Quarterly Report on Form 10-Q. </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Strategic License and Research and Collaboration Agreements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assumed license arrangements with certain third parties as a result of our acquisitions and have entered into several additional license, research and collaboration agreements with various parties. For details regarding these agreements, see Note 6 </w:t>
      </w:r>
      <w:r>
        <w:rPr>
          <w:rFonts w:ascii="Times New Roman" w:hAnsi="Times New Roman"/>
          <w:color w:val="231F20"/>
          <w:sz w:val="20"/>
        </w:rPr>
        <w:t>–</w:t>
      </w:r>
      <w:r>
        <w:rPr>
          <w:rFonts w:ascii="Times New Roman" w:hAnsi="Times New Roman"/>
          <w:color w:val="000000"/>
          <w:sz w:val="20"/>
        </w:rPr>
        <w:t xml:space="preserve"> Acquisition of Assets and Note 8 </w:t>
      </w:r>
      <w:r>
        <w:rPr>
          <w:rFonts w:ascii="Times New Roman" w:hAnsi="Times New Roman"/>
          <w:color w:val="231F20"/>
          <w:sz w:val="20"/>
        </w:rPr>
        <w:t>–</w:t>
      </w:r>
      <w:r>
        <w:rPr>
          <w:rFonts w:ascii="Times New Roman" w:hAnsi="Times New Roman"/>
          <w:color w:val="000000"/>
          <w:sz w:val="20"/>
        </w:rPr>
        <w:t xml:space="preserve">Strategic License and Research and Collaboration Agreements to our condensed consolidated financial statements included elsewhere in this Quarterly Report </w:t>
      </w:r>
      <w:r>
        <w:rPr>
          <w:rFonts w:ascii="Times New Roman" w:hAnsi="Times New Roman"/>
          <w:color w:val="231F20"/>
          <w:sz w:val="20"/>
        </w:rPr>
        <w:t>on Form 10-Q</w:t>
      </w:r>
      <w:r>
        <w:rPr>
          <w:rFonts w:ascii="Times New Roman" w:hAnsi="Times New Roman"/>
          <w:color w:val="000000"/>
          <w:sz w:val="20"/>
        </w:rPr>
        <w: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Contingent Consideration</w:t>
      </w:r>
    </w:p>
    <w:p>
      <w:pPr>
        <w:pStyle w:val="TextBody"/>
        <w:bidi w:val="0"/>
        <w:spacing w:before="120" w:after="283"/>
        <w:jc w:val="both"/>
        <w:rPr>
          <w:rFonts w:ascii="Times New Roman" w:hAnsi="Times New Roman"/>
          <w:sz w:val="20"/>
        </w:rPr>
      </w:pPr>
      <w:r>
        <w:rPr>
          <w:rFonts w:ascii="Times New Roman" w:hAnsi="Times New Roman"/>
          <w:i/>
          <w:color w:val="000000"/>
          <w:sz w:val="20"/>
        </w:rPr>
        <w:t>BlackThorn Contingent Consideration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BlackThorn Merger Agreement, we are required to pay the former stockholders of BlackThorn contingent consideration (i) with respect to navacaprant, in the form of development and regulatory approval milestones of up to an aggregate amount of $365.0 million, which includes a milestone payment that became due and was paid in the fourth quarter of 2023 upon dosing the first patient in the Phase 3 clinical trial for navacaprant,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Milestones”). At our sole discretion, the BlackThorn Milestone payments may be settled in cash or shares of our common stock, or a combination of both, subject to the provisions of the BlackThorn Merger Agreement, other than one development milestone in the amount of $10.0 million, which must be settled in cash. In 2023, we issued 6,072,445 shares of common stock based on the volume weighted average price per share prior to the date the milestone was met and paid $2.3 million in cash in satisfaction of the Phase 3 navacaprant milestone to the former stockholders of BlackThorn and participants in the carveout plan. As of March 31, 2026, none of the other BlackThorn Milestones have been achieved and no such related amounts were deemed due or payable.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Vanderbilt 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Vanderbilt License Agreement, we are required to pay Vanderbilt contingent consideration payable in cash up to an aggregate of $42.0 million upon the achievement of specified development milestones and up to an aggregate of $380.0 million upon the achievement of commercial milestone events as well as tiered royalties at mid-single digit percentages on potential future net sales. We achieved a $2.0 million development milestone in October 2023, which was paid in cash in November 2023. Additionally, in July 2025, we achieved and settled in cash a $5.0 million development milestone. As of March 31, 2026, none of the other Vanderbilt milestones have been achieved and no such related amounts were deemed due or payable.</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Components of Operating Results</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Operating Expenses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Research and Development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Research and development expenses consist of external and internal expenses, and primarily relate to our discovery efforts and development of our precision neuroscience approach, programs, and product candidates. External research and development expenses include, among others, amounts incurred with contract research organizations (“CROs”), contract manufacturing organizations (“CMOs”), preclinical testing organizations and other vendors that conduct research and development activities on our behalf. Internal research and development expenses include, among others, personnel-related costs, including salaries, benefits and stock-based compensation for employees engaged in research and development functions, laboratory supplies and other non-capital equipment utilized for in-house research, software development costs and allocated expenses including facilities costs and depreciation and amortization.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Because we are working on multiple research and development programs at any one time, we track our external expenses by the stage of program, clinical or preclinical. However, our internal expenses, including unallocated costs, employees and infrastructure are not directly tied to any one program and are deployed across multiple programs. As such, we do not track internal expenses on a specific program basis.</w:t>
      </w:r>
    </w:p>
    <w:p>
      <w:pPr>
        <w:pStyle w:val="TextBody"/>
        <w:bidi w:val="0"/>
        <w:spacing w:before="240" w:after="283"/>
        <w:jc w:val="both"/>
        <w:rPr>
          <w:rFonts w:ascii="Times New Roman" w:hAnsi="Times New Roman"/>
          <w:sz w:val="20"/>
        </w:rPr>
      </w:pPr>
      <w:r>
        <w:rPr>
          <w:rFonts w:ascii="Times New Roman" w:hAnsi="Times New Roman"/>
          <w:color w:val="231F20"/>
          <w:sz w:val="20"/>
        </w:rPr>
        <w:t>We expense research and development costs as incurred. Amounts recorded for external goods or services incurred for research and development activities that have not yet been invoiced are included in accrued liabilities in our consolidated balance sheets and often represent estimates. We estimate accrued expenses and the related research and development expense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 Payments for these activities are based on the terms of the individual agreements, which may differ from the pattern of costs incurred, and are reflected in our consolidated financial statements as prepaid expenses or other current assets or accrued liabilities. Nonrefundable advance payments that we make for goods or services to be received in the future for use in research and development</w:t>
      </w:r>
      <w:r>
        <w:rPr>
          <w:rFonts w:ascii="Times New Roman" w:hAnsi="Times New Roman"/>
          <w:color w:val="000000"/>
          <w:sz w:val="20"/>
        </w:rPr>
        <w:t xml:space="preserve"> </w:t>
      </w:r>
      <w:r>
        <w:rPr>
          <w:rFonts w:ascii="Times New Roman" w:hAnsi="Times New Roman"/>
          <w:color w:val="231F20"/>
          <w:sz w:val="20"/>
        </w:rPr>
        <w:t xml:space="preserve">activities are recorded as prepaid expenses. Such amounts are recognized as an expense as the goods are delivered or the related services are performed, or until it is no longer expected that the goods will be delivered, or the services rendered.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to continue to incur significant research and development expenses for the foreseeable future as we further develop our precision neuroscience approach and advance our programs and product candidates through clinical development and pursue regulatory approval of our product candidates. The process of conducting the necessary clinical and preclinical research to obtain regulatory approval is costly and time-consuming, and the successful development of our product candidates is highly uncertain. As a result of the uncertainties discussed below,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research and development expenses may vary significantly based on factors such as: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per patient trial costs;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of trials required for approval;</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of sites included in the trials;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to trials;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countries in which the trials are conducted;</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length of time required to enroll eligible patients;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of patients that participate in the trials;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drop-out or discontinuation rates of patients;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potential additional safety monitoring requested by regulatory agencies;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duration of patient participation in the trials and follow-up;</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 and timing of manufacturing our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phase of development of our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efficacy and safety profile of our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and scope of preclinical and IND-enabling studies;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effectiveness of our precision neuroscience approach at identifying target patient populations and utilizing the approach to enrich our patient population in our clinical trials;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employee-related costs for personnel engaged in the design, development, testing and enhancement of our precision neuroscience related technology;</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extent to which we establish additional collaboration or license agreements;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whether we choose to partner any of our product candidates and the terms of such partnership; and</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impact of general economic conditions, such as inflation, rising interest rates and tariffs.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preclinical studies and future clinical trials.</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and administrative expenses include, among others, personnel-related costs, including salaries, benefits, and stock-based compensation for our employees in executive, finance, and other administrative functions, legal fees, professional fees incurred for accounting, audit, and tax services, recruiting costs, and other allocated expenses, including facilities costs and depreciation and amortization not included in research and development expenses. Legal fees are included within general and administrative expenses and are related to corporate and intellectual property related matters.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our general and administrative expenses to increase substantially in the foreseeable future as we continue to support our research and development activities, grow our business and, if any of our product candidates receive marketing approval, commence commercialization activities. We will also continue to incur additional expenses associated with operating as a public company, including increased expenses related to audit, legal, regulatory, and tax-related services associated with maintaining compliance with the rules and regulations of the SEC and standards applicable to public companies, additional insurance expenses, investor relations activities and other administrative and professional services.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Other Income (Expense)</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Interest Income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Interest income consists of interest earned on our cash equivalents and marketable securities and interest expense related to our Loan Agreement.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Interest expense consists of interest expense related to our Loan Agreement, as well as amortization of debt issuance costs and accretion of the final payment fee.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120" w:after="283"/>
        <w:jc w:val="both"/>
        <w:rPr>
          <w:rFonts w:ascii="Times New Roman" w:hAnsi="Times New Roman"/>
          <w:sz w:val="20"/>
        </w:rPr>
      </w:pPr>
      <w:r>
        <w:rPr>
          <w:rFonts w:ascii="Times New Roman" w:hAnsi="Times New Roman"/>
          <w:b/>
          <w:i/>
          <w:color w:val="231F20"/>
          <w:sz w:val="20"/>
        </w:rPr>
        <w:t xml:space="preserve">For the Three Months Ended </w:t>
      </w:r>
      <w:r>
        <w:rPr>
          <w:rFonts w:ascii="Times New Roman" w:hAnsi="Times New Roman"/>
          <w:b/>
          <w:i/>
          <w:color w:val="000000"/>
          <w:sz w:val="20"/>
        </w:rPr>
        <w:t>March 31, 2026 and 2025</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result of operations for the periods presented:</w:t>
      </w:r>
    </w:p>
    <w:p>
      <w:pPr>
        <w:pStyle w:val="TextBody"/>
        <w:bidi w:val="0"/>
        <w:spacing w:before="160" w:after="283"/>
        <w:jc w:val="both"/>
        <w:rPr>
          <w:rFonts w:ascii="Times New Roman" w:hAnsi="Times New Roman"/>
          <w:i/>
          <w:color w:val="231F20"/>
          <w:sz w:val="20"/>
        </w:rPr>
      </w:pPr>
      <w:r>
        <w:rPr>
          <w:rFonts w:ascii="Times New Roman" w:hAnsi="Times New Roman"/>
          <w:i/>
          <w:color w:val="231F20"/>
          <w:sz w:val="20"/>
        </w:rPr>
        <w:t>Research and Development Expenses</w:t>
      </w:r>
    </w:p>
    <w:tbl>
      <w:tblPr>
        <w:tblW w:w="7113" w:type="dxa"/>
        <w:jc w:val="left"/>
        <w:tblInd w:w="0" w:type="dxa"/>
        <w:tblLayout w:type="fixed"/>
        <w:tblCellMar>
          <w:top w:w="28" w:type="dxa"/>
          <w:left w:w="28" w:type="dxa"/>
          <w:bottom w:w="28" w:type="dxa"/>
          <w:right w:w="28" w:type="dxa"/>
        </w:tblCellMar>
      </w:tblPr>
      <w:tblGrid>
        <w:gridCol w:w="2891"/>
        <w:gridCol w:w="146"/>
        <w:gridCol w:w="211"/>
        <w:gridCol w:w="736"/>
        <w:gridCol w:w="166"/>
        <w:gridCol w:w="146"/>
        <w:gridCol w:w="211"/>
        <w:gridCol w:w="736"/>
        <w:gridCol w:w="166"/>
        <w:gridCol w:w="146"/>
        <w:gridCol w:w="211"/>
        <w:gridCol w:w="736"/>
        <w:gridCol w:w="61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research and development expenses by program for the periods presented:</w:t>
      </w:r>
    </w:p>
    <w:tbl>
      <w:tblPr>
        <w:tblW w:w="7958" w:type="dxa"/>
        <w:jc w:val="left"/>
        <w:tblInd w:w="0" w:type="dxa"/>
        <w:tblLayout w:type="fixed"/>
        <w:tblCellMar>
          <w:top w:w="28" w:type="dxa"/>
          <w:left w:w="28" w:type="dxa"/>
          <w:bottom w:w="28" w:type="dxa"/>
          <w:right w:w="28" w:type="dxa"/>
        </w:tblCellMar>
      </w:tblPr>
      <w:tblGrid>
        <w:gridCol w:w="3896"/>
        <w:gridCol w:w="146"/>
        <w:gridCol w:w="211"/>
        <w:gridCol w:w="676"/>
        <w:gridCol w:w="146"/>
        <w:gridCol w:w="146"/>
        <w:gridCol w:w="211"/>
        <w:gridCol w:w="676"/>
        <w:gridCol w:w="146"/>
        <w:gridCol w:w="146"/>
        <w:gridCol w:w="211"/>
        <w:gridCol w:w="736"/>
        <w:gridCol w:w="61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Navacaprant (NMRA-140)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M4 PAM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NMRA-511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Research and development expenses decreased by $13.6 million, or 26%, to $38.6 million for the three months ended March 31, 2026, from $52.2 million for the three months ended March 31, 2025.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Direct external program expenses decreased $3.2 million primarily driven by: </w:t>
      </w:r>
    </w:p>
    <w:p>
      <w:pPr>
        <w:pStyle w:val="TextBody"/>
        <w:bidi w:val="0"/>
        <w:spacing w:before="120" w:after="283"/>
        <w:ind w:left="489"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reduced navacaprant program costs of $3.6 million due to reduced manufacturing costs incurred,</w:t>
      </w:r>
    </w:p>
    <w:p>
      <w:pPr>
        <w:pStyle w:val="TextBody"/>
        <w:bidi w:val="0"/>
        <w:spacing w:before="120" w:after="283"/>
        <w:ind w:left="489"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reduced NMRA-511 program costs of $1.4 million due to lower clinical trial costs with the completion of the Phase 1b study,</w:t>
      </w:r>
    </w:p>
    <w:p>
      <w:pPr>
        <w:pStyle w:val="TextBody"/>
        <w:bidi w:val="0"/>
        <w:spacing w:before="120" w:after="283"/>
        <w:ind w:left="489"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partially offset by a $1.7 million increase in preclinical research and manufacturing.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Internal and unallocated expenses decreased $10.4 million, which were primarily due to: </w:t>
      </w:r>
    </w:p>
    <w:p>
      <w:pPr>
        <w:pStyle w:val="TextBody"/>
        <w:bidi w:val="0"/>
        <w:spacing w:before="120" w:after="283"/>
        <w:ind w:left="489" w:right="0" w:hanging="0"/>
        <w:jc w:val="both"/>
        <w:rPr>
          <w:color w:val="231F20"/>
        </w:rPr>
      </w:pPr>
      <w:r>
        <w:rPr>
          <w:color w:val="231F20"/>
        </w:rPr>
        <w:t>•</w:t>
      </w:r>
    </w:p>
    <w:p>
      <w:pPr>
        <w:pStyle w:val="TextBody"/>
        <w:bidi w:val="0"/>
        <w:spacing w:before="120" w:after="283"/>
        <w:jc w:val="both"/>
        <w:rPr/>
      </w:pPr>
      <w:r>
        <w:rPr>
          <w:rFonts w:ascii="Times New Roman" w:hAnsi="Times New Roman"/>
          <w:color w:val="231F20"/>
          <w:sz w:val="20"/>
        </w:rPr>
        <w:t xml:space="preserve">a decrease in other costs of $7.4 million primarily due to no activity under our research and collaboration agreements with Amgen in the current period, compared to $6.3 million in the prior period. </w:t>
      </w:r>
      <w:r>
        <w:rPr>
          <w:rFonts w:ascii="Times New Roman" w:hAnsi="Times New Roman"/>
          <w:color w:val="000000"/>
          <w:sz w:val="20"/>
        </w:rPr>
        <w:t xml:space="preserve">The Amgen Collaboration Agreement automatically terminated upon its third anniversary in September 2024. The final costs were incurred in the first quarter of 2025 and the final payment was made to Amgen in May 2025. </w:t>
      </w:r>
    </w:p>
    <w:p>
      <w:pPr>
        <w:pStyle w:val="TextBody"/>
        <w:bidi w:val="0"/>
        <w:spacing w:before="120" w:after="283"/>
        <w:ind w:left="489"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Lower personnel-related costs of $2.9 million primarily due to a reduction in stock based compensation expense driven by lower headcount, as well as a discretionary bonus payment made to a key executive in the prior period that did not recur.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 Expenses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and administrative expenses decreased by $4.5 million, or 24%, to $14.3 million for the three months ended March 31, 2026, from $18.8 million for the three months ended March 31, 2025 primarily due to lower personnel-related costs, driven by reduced headcount, which resulted in decreased stock-based compensation expense, as well as a discretionary bonus paid to a key executive in the prior period that did not recur.</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Interest Income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Interest income decreased by $1.8 million to $1.2 million for the three months ended March 31, 2026 from $3.1 million for the three months ended March 31, 2025, which was attributable to less interest earned on our lower balances in cash equivalents.</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Interest expense of $1.9 million for the three months ended March 31, 2026 consisted of interest expense related to our Loan Agreement, as well as amortization of debit issuance costs and accretion of the final payment fee.</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Liquidity and Capital Resources</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Sources of Liquidity</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Since our inception, we have not generated any revenue from the sale of products and we have incurred significant net losses and negative cash flows from operations. Our primary use of our capital resources is to fund our operating expenses, which consist primarily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of expenditures related to identifying, acquiring, developing, and in-licensing our precision neuroscience approach, programs, and product candidates, and conducting preclinical studies and clinical trials, and to a lesser extent, general and administrative expenditures. We have not yet commercialized any products and we do not expect to generate revenue from sales of any product candidates for a number of years, if ever.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of March 31, 2026, we had $147.1 million of cash and cash equivalents.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2023, we completed our Initial Public Offering (“IPO”) pursuant to which we issued and sold an aggregate of 14,710,000 shares of common stock at a price to the public of $17.00 per share. We received aggregate net proceeds of $226.5 million after deducting underwriting discounts and commissions of $17.5 million and other offering expenses of $6.0 million. Prior to our IPO, we primarily funded our operations with the net proceeds from the sale and issuance of our convertible preferred stock and convertible promissory notes.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2024, we entered into a sales agreement with Leerink to sell shares of our common stock, from time to time, with aggregate gross sales proceeds of up to $300.0 million, through an at-the-market equity offering program (“ATM”) with Leerink as the sales agent. During the years ended December 31, 2025 and 2024, we received aggregate net proceeds of $19.7 million and $13.7 million, respectively, through sales of shares of our common stock under the ATM after deducting commissions and offering expenses. Additionally, during the three months ended March 31, 2026 we received aggregate net proceeds of $10.9 million through sales of shares of our common stock under the ATM after deducting commissions and offering expenses.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May 2025, we entered into a loan and security agreement, (as amended, the “Loan Agreement”) with K2 HealthVentures LLC (“K2HV”). The Loan Agreement provides us with a term loan facility in the aggregate principal amount of up to $125.0 million, of which we have borrowed $60.0 million. The remaining $65.0 million is available for borrowing upon our request, subject to certain clinical and regulatory milestones or discretionary approval by the lenders. The term loan facility matures on May 1, 2029 and can be extended to May 1, 2030, subject to our achievement of certain clinical milestones.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Future Funding Requirements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expect our expenses and operating losses will increase substantially over the foreseeable future as we continue our research and development efforts, advance our product candidates through clinical and preclinical development, enhance our precision neuroscience approach and programs, expand our product pipeline, seek regulatory approval, prepare for commercialization, as well as hire additional personnel and protect our intellectual property. Furthermore, since our IPO, we have incurred and will continue to incur additional costs associated with being a public company. Our net losses may fluctuate significantly from period to period, depending on the factors described below. We are subject to the risks typically related to the development of new products, and we may encounter unforeseen expenses, difficulties, complications, delays, and other unknown factors that may adversely affect our business. The expected increase in expenses will be driven in large part by our ongoing activities, and our future capital requirements will depend on many factors, including:</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scope, timing, progress, costs and results of discovery, preclinical development and clinical trials for our current or future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of clinical trials required for regulatory approval of our current or future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costs, timing and outcome of regulatory review of any of our current or future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costs associated with acquiring or licensing additional product candidates, technologies or assets, including the timing and amount of any milestones, royalties or other payments due in connection with our acquisitions and licenses;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 of manufacturing clinical and commercial supplies of our current or future product candidates;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effectiveness of our precision neuroscience approach at identifying target patient populations and utilizing our approach to enrich our patient population in our clinical trials;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access additional multimodal patient datasets;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revenue, if any, received from commercial sales of our product candidates for which we receive marketing approval;</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expenses to attract, hire and retain skilled personnel;</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costs of operating as a public company;</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establish a commercially viable pricing structure and obtain approval for coverage and adequate reimbursement from third-party and government payers;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effect of macroeconomic trends including tariffs, trade controls, inflation and rising interest rates;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effect of any potential supply chain interruptions or delays, including those related to geopolitical issues;</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effect of competing technological and market developments; and</w:t>
      </w:r>
    </w:p>
    <w:p>
      <w:pPr>
        <w:pStyle w:val="TextBody"/>
        <w:bidi w:val="0"/>
        <w:spacing w:before="120" w:after="283"/>
        <w:ind w:left="360" w:right="0" w:hanging="0"/>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extent to which we acquire or invest in businesses, products and technologies.</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Based upon our current operating plan, we believe that our existing cash, cash equivalents and marketable securities will enable us to fund our operating expenses and capital expenditure requirements through at least the next 12 months following the issuance of the condensed consolidated financial statements. However, we anticipate that we will need to raise additional financing in the future to fund our operations </w:t>
      </w:r>
      <w:r>
        <w:rPr>
          <w:rFonts w:ascii="Times New Roman" w:hAnsi="Times New Roman"/>
          <w:color w:val="000000"/>
          <w:sz w:val="20"/>
        </w:rPr>
        <w:t>and pursue our long-term business plan</w:t>
      </w:r>
      <w:r>
        <w:rPr>
          <w:rFonts w:ascii="Times New Roman" w:hAnsi="Times New Roman"/>
          <w:color w:val="231F20"/>
          <w:sz w:val="20"/>
        </w:rPr>
        <w:t>, including the development and commercialization of our product candidates, if approved.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pStyle w:val="TextBody"/>
        <w:bidi w:val="0"/>
        <w:spacing w:before="40" w:after="283"/>
        <w:jc w:val="both"/>
        <w:rPr>
          <w:rFonts w:ascii="Times New Roman" w:hAnsi="Times New Roman"/>
          <w:sz w:val="20"/>
        </w:rPr>
      </w:pPr>
      <w:r>
        <w:rPr>
          <w:rFonts w:ascii="Times New Roman" w:hAnsi="Times New Roman"/>
          <w:color w:val="231F20"/>
          <w:sz w:val="20"/>
        </w:rPr>
        <w:t xml:space="preserve">To complete the development and commercialization of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t>
      </w:r>
      <w:r>
        <w:rPr>
          <w:rFonts w:ascii="Times New Roman" w:hAnsi="Times New Roman"/>
          <w:color w:val="000000"/>
          <w:sz w:val="20"/>
        </w:rPr>
        <w:t xml:space="preserve">We may not be able to raise additional capital on terms acceptable to us or at all. If we are unable to raise additional capital on acceptable terms when needed, our business, results of operations, and financial condition would be adversely affected. The amount and timing of </w:t>
      </w:r>
      <w:r>
        <w:rPr>
          <w:rFonts w:ascii="Times New Roman" w:hAnsi="Times New Roman"/>
          <w:color w:val="231F20"/>
          <w:sz w:val="20"/>
        </w:rPr>
        <w:t>our future funding requirements will depend on many factors including the successful advancement of our precision neuroscience approach, programs, and product candidates. Our ability to raise additional funds may also be adversely impacted by potential worsening global economic conditions and disruptions to, and volatility in, the credit and financial markets in the United States and worldwide.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cash flows for the periods presented:</w:t>
      </w:r>
    </w:p>
    <w:p>
      <w:pPr>
        <w:pStyle w:val="TextBody"/>
        <w:bidi w:val="0"/>
        <w:jc w:val="both"/>
        <w:rPr/>
      </w:pPr>
      <w:r>
        <w:rPr/>
        <w:t> </w:t>
      </w:r>
    </w:p>
    <w:tbl>
      <w:tblPr>
        <w:tblW w:w="7661" w:type="dxa"/>
        <w:jc w:val="left"/>
        <w:tblInd w:w="0" w:type="dxa"/>
        <w:tblLayout w:type="fixed"/>
        <w:tblCellMar>
          <w:top w:w="28" w:type="dxa"/>
          <w:left w:w="28" w:type="dxa"/>
          <w:bottom w:w="28" w:type="dxa"/>
          <w:right w:w="28" w:type="dxa"/>
        </w:tblCellMar>
      </w:tblPr>
      <w:tblGrid>
        <w:gridCol w:w="4136"/>
        <w:gridCol w:w="146"/>
        <w:gridCol w:w="266"/>
        <w:gridCol w:w="931"/>
        <w:gridCol w:w="210"/>
        <w:gridCol w:w="184"/>
        <w:gridCol w:w="266"/>
        <w:gridCol w:w="931"/>
        <w:gridCol w:w="59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change in cash and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Net cash used in operating activities for the </w:t>
      </w:r>
      <w:r>
        <w:rPr>
          <w:rFonts w:ascii="Times New Roman" w:hAnsi="Times New Roman"/>
          <w:color w:val="000000"/>
          <w:sz w:val="20"/>
        </w:rPr>
        <w:t>three months ended March 31, 2026</w:t>
      </w:r>
      <w:r>
        <w:rPr>
          <w:rFonts w:ascii="Times New Roman" w:hAnsi="Times New Roman"/>
          <w:color w:val="231F20"/>
          <w:sz w:val="20"/>
        </w:rPr>
        <w:t xml:space="preserve"> was $46.4 million, which primarily consisted of a net loss of $53.5 million partially offset by noncash charges of $7.8 million. The noncash charges primarily consisted of $7.4 million of stock-based compensation and $0.4 million of amortization of debt issuance costs and accretion of the debt final payment fee. Our net operating assets and liabilities decreased by $0.8 million, primarily from a decrease in accrued liabilities of $4.0 million related to our ongoing clinical trials, partially offset by an increase in accounts payable of $1.7 million due to the timing of our accounts payable and a decrease in prepaid expenses and other current assets of $1.6 million due to less interest receivable on our cash and cash equivalents.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Net cash used in operating activities for the </w:t>
      </w:r>
      <w:r>
        <w:rPr>
          <w:rFonts w:ascii="Times New Roman" w:hAnsi="Times New Roman"/>
          <w:color w:val="000000"/>
          <w:sz w:val="20"/>
        </w:rPr>
        <w:t>three months ended March 31, 2025</w:t>
      </w:r>
      <w:r>
        <w:rPr>
          <w:rFonts w:ascii="Times New Roman" w:hAnsi="Times New Roman"/>
          <w:color w:val="231F20"/>
          <w:sz w:val="20"/>
        </w:rPr>
        <w:t xml:space="preserve"> was $59.4 million, which consisted of a net loss of $68.0 million and a change in our net operating assets and liabilities of $0.5 million, partially offset by noncash charges of $9.1 million. The change in our net operating assets and liabilities primarily resulted from an a decrease in accounts payable of $2.3 million due to the timing of our accounts payable and a decrease in current operating lease liabilities of $0.9 million due to the upcoming expiration of our office and lab lease agreement, partially offset by a decrease in prepaid expenses and other current assets of $1.0 million due to less interest receivable on our cash and marketable securities and an increase in accrued liabilities of $1.7 million related to our ongoing clinical trials. The noncash charges primarily consisted of $9.3 million of stock-based compensation, $0.9 million of noncash operating lease expense, partially offset by $1.3 million of net accretion of discounts on marketable securities.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Investing Activities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Net cash provided by investing activities for the </w:t>
      </w:r>
      <w:r>
        <w:rPr>
          <w:rFonts w:ascii="Times New Roman" w:hAnsi="Times New Roman"/>
          <w:color w:val="000000"/>
          <w:sz w:val="20"/>
        </w:rPr>
        <w:t xml:space="preserve">three months ended March 31, 2026 </w:t>
      </w:r>
      <w:r>
        <w:rPr>
          <w:rFonts w:ascii="Times New Roman" w:hAnsi="Times New Roman"/>
          <w:color w:val="231F20"/>
          <w:sz w:val="20"/>
        </w:rPr>
        <w:t xml:space="preserve">was $0.1 million, which consisted of proceeds from the sale equipment. </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Net cash provided by investing activities for the </w:t>
      </w:r>
      <w:r>
        <w:rPr>
          <w:rFonts w:ascii="Times New Roman" w:hAnsi="Times New Roman"/>
          <w:color w:val="000000"/>
          <w:sz w:val="20"/>
        </w:rPr>
        <w:t xml:space="preserve">three months ended March 31, 2025 </w:t>
      </w:r>
      <w:r>
        <w:rPr>
          <w:rFonts w:ascii="Times New Roman" w:hAnsi="Times New Roman"/>
          <w:color w:val="231F20"/>
          <w:sz w:val="20"/>
        </w:rPr>
        <w:t>was $44.2 million, which primarily consisted of $88.6 million in proceeds from maturities of marketable securities, partially offset by $44.4 million in purchases of marketable securities.</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Financing Activities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Net cash provided by financing activities for the three months ended March 31, 2026 was $10.9 million which consisted of net proceeds from the ATM offering.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Contractual Obligations and Other Commitments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March 31, 2026, our contractual obligations and commitments relate primarily to our Loan Agreement with K2HV under which we had borrowed $60.0 million. The term loan matures on May 1, 2029, and we are obligated to make interest only payments until June 1, 2028. Additional information about the Loan Agreement and our commitments under it can be found in Note 5 – Debt to our condensed consolidated financial statements.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June 2025, we entered into a new operating lease for office space located in Massachusetts with a noncancellable lease term expiring in August 2027.</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entered into a number of acquisitions of assets that are summarized in Note 6 – Acquisitions of Assets to our condensed consolidated financial statements. As part of these acquisitions of assets, we are obligated to pay cash and/or stock for future contingent payments that are dependent upon future events, and in some cases, vesting by the recipient of the contingent payment, such as our achievement of certain development, regulatory, and commercial milestones. We have also assumed license arrangements with various third parties, primarily as a result of our acquisitions, and have entered into additional agreements that are summarized in Note 8 – Strategic License and Research and Collaboration Agreements to our condensed consolidated financial statements. In accordance with these agreements, we are obligated to pay, among other items, future contingent payments that are uncertain and dependent upon future events such as our achievement of certain development, regulatory, and commercial milestones royalties, and sublicensing revenue in the future, as applicable.</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Critical Accounting Estimates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management’s discussion and analysis of the financial condition and results of operations is based on our condensed consolidated financial statements, which have been prepared in accordance with the U.S. generally accepted accounting principles (“GAAP”). The preparation of our condensed consolidated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There have been no material changes to our critical accounting estimates from those described under in “Management’s Discussion and Analysis of Financial Condition and Results of Operations </w:t>
      </w:r>
      <w:r>
        <w:rPr>
          <w:rFonts w:ascii="Times New Roman" w:hAnsi="Times New Roman"/>
          <w:color w:val="231F20"/>
          <w:sz w:val="20"/>
        </w:rPr>
        <w:t>– Critical Accounting Estimates” included in our 2025 Annual Report on Form 10-K filed with the SEC on March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231F20"/>
          <w:sz w:val="20"/>
        </w:rPr>
        <w:t>See Note 2 to our condensed consolidated financial statements included elsewhere in this Quarterly Report on Form 10-Q for more information.</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Smaller Reporting Company Elections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smaller reporting company, which allows us to take advantage of exemptions from various reporting requirements that are applicable to other public companies that are not smaller reporting companies, including not being required to comply with the auditor attestation requirements of Section 404 of Sarbanes-Oxley, reduced disclosure obligations regarding executive compensation in our Annual Report and our periodic reports and proxy statements and providing only two years of audited financial statements in our Annual Report and our periodic reports. We will remain a smaller reporting company so long as (a) the aggregate market value of our outstanding common stock held by non-affiliates as of the last business day our most recently completed second fiscal quarter is less than $250 million or (b) (1) we have less than $100 million in annual revenues during our most recently completed fiscal year and (2) the aggregate market value of our outstanding common stock held by non-affiliates as of the last business day our most recently completed second fiscal quarter is less than $700 million.</w:t>
      </w:r>
    </w:p>
    <w:p>
      <w:pPr>
        <w:pStyle w:val="TextBody"/>
        <w:bidi w:val="0"/>
        <w:spacing w:before="360" w:after="283"/>
        <w:jc w:val="both"/>
        <w:rPr>
          <w:rFonts w:ascii="Times New Roman" w:hAnsi="Times New Roman"/>
          <w:b/>
          <w:color w:val="231F20"/>
          <w:sz w:val="20"/>
        </w:rPr>
      </w:pPr>
      <w:bookmarkStart w:id="10" w:name="item_7a_quantitative_and_qualitative"/>
      <w:bookmarkEnd w:id="10"/>
      <w:r>
        <w:rPr>
          <w:rFonts w:ascii="Times New Roman" w:hAnsi="Times New Roman"/>
          <w:b/>
          <w:color w:val="231F20"/>
          <w:sz w:val="20"/>
        </w:rPr>
        <w:t>Item 3. Quantitative and Qualitative Disclosures About Market Risk.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had cash, cash equivalents and marketable securities of $147.1 million as of March 31, 2026. The primary objectives of our investment activities are to preserve principal, provide liquidity and maximize income without significantly increasing risk. Our primary exposure to market risk relates to fluctuations in interest rates, which are affected by changes in the general level of U.S. interest rates.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Loan Agreement with K2HV, our term loan facility bears a variable interest rate equal to the greater of (i)10.45% and (ii) the sum of (A) the prime rate last quoted in The Wall Street Journal and (B) 2.95%. An increase in interest rates by the Federal Reserve could cause the prime rate to increase, which could increase our debt service obligations. Significant increases in such obligations could have a negative impact on our financial position or operating results, including cash available for servicing our indebtedness, or result in increased borrowing costs in the future.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are also exposed to interest rate risk through our investment holdings. Given the short-term nature of our cash, cash equivalents and marketable securities, we do not expect that a sudden change in market interest rates would have a material impact on our financial condition and/or results of operations. We do not own any derivative financial instruments.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contract with vendors in foreign countries. As such, we have exposure to adverse changes in exchange rates of foreign currencies associated with our foreign transactions. We believe this exposure to be immaterial. We do not hedge against this exposure to fluctuations in exchange rates.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do not believe that our cash and cash equivalents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that are in excess of federally insured limits at one or more financial institutions.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Inflation generally affects us by increasing our cost of labor and clinical trial costs. We do not believe that inflation had a material effect on our results of operations during the three months ended March 31,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231F20"/>
          <w:sz w:val="20"/>
        </w:rPr>
      </w:pPr>
      <w:bookmarkStart w:id="11" w:name="item_9a_controls_and_procedures"/>
      <w:bookmarkEnd w:id="11"/>
      <w:r>
        <w:rPr>
          <w:rFonts w:ascii="Times New Roman" w:hAnsi="Times New Roman"/>
          <w:b/>
          <w:color w:val="231F2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management, with the participation and supervision of our Chief Executive Officer and our Chief Financial Officer, have evaluated our disclosure controls and procedures as defined in Rules 13a-15(e) and 15d-15(e) under the Exchange Act. Based on that evaluation, our Chief Executive Officer and our Chief Financial Officer have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3" w:name="item_3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6, 2025, a purported stockholder of the Company filed a lawsuit against us, certain executive officers, and certain underwriters in the United States District Court for the Southern District of New York (Case No. 1:25-cv-01072). The complaint is a putative class action alleging violations of the Securities Act related to our initial public offering on September 15, 2023. The plaintiff seeks compensatory damages, as well as fees and costs. The complaint claims that our offering documents contained false and misleading statements and omitted material facts about the prospects of navacaprant. We do not believe these allegations have merit and have moved to dismiss. On November 19, 2025, the Court appointed Victor Otcheretko as Lead Plaintiff and on January 14, 2026 Lead Plaintiff Otcheretko filed an amended complaint. On March 11, 2026, defendants filed a motion to dismiss the amended complaint. Lead Plaintiff’s opposition to defendants’ motion to dismiss was filed on April 22, 2026. On May 1, 2026, Lead Plaintiff filed a letter motion requesting leave to file a second amended complaint, which the Court granted on May 5, 2026. Lead Plaintiff filed a second amended complaint on May 5, 2026. Pursuant to the Court’s order, Defendants’ motion(s) to dismiss the second amended complaint is due June 15, 2026, Lead Plaintiff’s opposition(s) to the motion(s) to dismiss are due July 27, 2026, and Defendants’ reply brief(s) are due August 24, 2026. The Court has not yet scheduled a hearing on the anticipated motion(s) to dismiss.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from time to time, we may in the ordinary course of business become involved in legal proceedings. Regardless of outcome, litigation could have a material adverse effect on our business results of operations or financial condition due to defense and settlement costs, diversion of management resources, negative publicity, reputational harm and other factors, and there can be no assurances that favorable outcomes will be obtained.</w:t>
      </w:r>
    </w:p>
    <w:p>
      <w:pPr>
        <w:pStyle w:val="TextBody"/>
        <w:bidi w:val="0"/>
        <w:spacing w:before="240" w:after="283"/>
        <w:jc w:val="left"/>
        <w:rPr>
          <w:rFonts w:ascii="Times New Roman" w:hAnsi="Times New Roman"/>
          <w:b/>
          <w:color w:val="000000"/>
          <w:sz w:val="20"/>
        </w:rPr>
      </w:pPr>
      <w:bookmarkStart w:id="14" w:name="item_1a_risk_factors_1"/>
      <w:bookmarkEnd w:id="14"/>
      <w:r>
        <w:rPr>
          <w:rFonts w:ascii="Times New Roman" w:hAnsi="Times New Roman"/>
          <w:b/>
          <w:color w:val="000000"/>
          <w:sz w:val="20"/>
        </w:rPr>
        <w:t>ITEM 1A. Risk Factors.</w:t>
      </w:r>
    </w:p>
    <w:p>
      <w:pPr>
        <w:pStyle w:val="TextBody"/>
        <w:bidi w:val="0"/>
        <w:spacing w:before="120" w:after="283"/>
        <w:jc w:val="center"/>
        <w:rPr>
          <w:rFonts w:ascii="Times New Roman" w:hAnsi="Times New Roman"/>
          <w:b/>
          <w:caps/>
          <w:color w:val="000000"/>
          <w:sz w:val="20"/>
        </w:rPr>
      </w:pPr>
      <w:r>
        <w:rPr>
          <w:rFonts w:ascii="Times New Roman" w:hAnsi="Times New Roman"/>
          <w:b/>
          <w:caps/>
          <w:color w:val="000000"/>
          <w:sz w:val="20"/>
        </w:rPr>
        <w:t>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shares of our common stock involves a high degree of risk. You should carefully consider the following risks and uncertainties, together with all of the other information contained in this Quarterly Report on Form 10-Q, including our unaudited condensed consolidated financial statements and related notes and the section titled “Management’s Discussion and Analysis of Financial Condition and Results of Operations,” before making an investment decision. The risks described below are not the only ones facing us. Many of the following risks and uncertainties are, and will be, exacerbated by any worsening of the global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case, the trading price of shares of our common stock could decline, and you may lose all or part of your investment. These disclosures reflect our beliefs and opinions as to factors that could materially and adversely affect our company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and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may make it difficult to evaluate our prospects and likelihood of success.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to confront the greatest medical challenges of our generation by taking a fundamentally different approach to the way treatments for brain diseases are developed, fields that have seen very limited success. The ability to successfully develop drugs in these fields is extremely difficult and is subject to a number of unique challenges.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invested and expect to continue to invest in acquiring product candidates, technologies and assets, as well as research and development efforts that further enhance our product pipeline. Such investments may affect our operating results, and, if the return on these investments is lower or develops more slowly than we expect, our revenue and operating results may suffer.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since our inception in November 2019. If we fail to effectively manage our growth, we may not be able to execute on our business objectives.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highly competitive and rapidly changing industries, which may result in others discovering, developing or commercializing competing products before or more successfully than we do.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preclinical drug development is a lengthy and expensive process, with an uncertain outcome. Our clinical and preclinical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or at all, our business will be substantially harmed.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intellectual property licensed or acquired from third parties and we are currently party to in-license agreements under which we acquired rights to use, develop, manufacture and/or commercialize certain of our proprietary technologies and product candidates. If we breach our obligations under these agreements or if any of these agreements is terminated, or we otherwise experience disruptions to our business relationships with our licensors, we may be required to pay damages and/or lose our rights to such intellectual property and technology, which would harm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Condition and Need for Additional Capital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 clinical stage biopharmaceutical company and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w:t>
        <w:noBreakHyphen/>
        <w:t>stage biopharmaceutical company with a limited operating history. Biopharmaceutical product development is a highly speculative undertaking and involves a substantial degree of risk. We have incurred significant losses since our inception in November 2019, have no products approved for commercial sale, have not generated any revenue from product sales, have financed our operations principally through proceeds from sales of common stock, convertible preferred stock and convertible promissory notes and expect to incur significant losses for the foreseeable future. We expect that it will be several years before we have a commercialized product and generate revenue from product sales, if at all. Our net loss was $53.5 million and $68.0 million for three months ended March 31, 2026 and 2025, respectively. As of March 31, 2026, we had an accumulated deficit of $1,237.6 million. Our losses have resulted principally from acquired in-process research and development from our acquisitions of assets, expenses incurred in the research and development of our product candidates, as well as from costs associated with our preclinical studies and clinical trials and management and administrative costs and other expenses that we have incurred while building our business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expenses and operating losses will continue to increase substantially for the foreseeable future as we expand our research and development efforts, advance our clinical candidates to potentially registrational trials, identify and acquire product candidates, complete preclinical studies and initiate additional clinical trials, seek regulatory approval and commercialization of our product candidates and operate as a public company. We anticipate that our expenses will continue to increase substantially as we: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clinical and preclinical development of our current and future product candidates and initiate additional preclinical studies and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approval of our current and future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additional product candidates, technologies, multimodal patient datasets and other assets for our business;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clinical and preclinical development, manufacturing and commercialization efforts;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perfect, maintain and defend our intellectual property portfolio;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devoted a significant portion of our financial resources and efforts to building our organization, acquiring technologies and companies, executing clinical and preclinical studies, conducting research and development, identifying and developing potential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candidates, building our precision neuroscience approach, organizing and staffing our company, business planning, establishing, maintaining and protecting our intellectual property portfolio, raising capital and providing general and administrative support for these operations. We have not completed development and commercialization of any of our product candidates with most still being in relatively early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succeed in identifying, developing, conducting successful clinical trials,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obtaining regulatory and marketing approval for any product candidates that successfully complete clinical trials, accessing manufacturing capacity, establishing marketing capabilities, commercializing and ultimately selling any products.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we are unable to achieve or sustain profitability or to meet outside expectations for our profitability, the price of our common stock could be materially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biopharmaceutical and biotechnology products and drug development, we are unable to accurately predict the timing or amount of increased expenses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 product candidates, our expenses could increase and commercial revenue could be further delayed and become more uncertain, which will have a material adverse impact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our acquisitions of assets in late 2020, we entered into arrangements whereby the former stockholders of those companies are entitled to substantial contingent consideration payments upon the occurrence of certain events. For example, in connection with our acquisition of BlackThorn Therapeutics, Inc. (“BlackThorn”), a privately held company, the former BlackThorn stockholders are entitled to contingent consideration (i) with respect to navacaprant (NMRA</w:t>
        <w:noBreakHyphen/>
        <w:t>140), in the form of development and regulatory approval milestones of up to an aggregate amount of $365.0 million, which includes a milestone payment that became due in October 2023 upon dosing the first patient in the Phase 3 clinical trial for navacaprant, which was primarily settled by issuing unregistered shares of our common stock in December 2023, and sales</w:t>
        <w:noBreakHyphen/>
        <w:t>based milestones of up to an aggregate amount of $450.0 million and (ii) with respect to NMRA</w:t>
        <w:noBreakHyphen/>
        <w:t>511, in the form of development and regulatory approval milestones of up to an aggregate amount of $100.0 million and sales</w:t>
        <w:noBreakHyphen/>
        <w:t>based milestones of up to an aggregate amount of $100.0 million (the “BlackThorn Milestone Payments”). With the exception of one development milestone in the amount of $10.0 million that is required to be settled in cash, the remaining BlackThorn Milestone Payments may be settled in cash or shares of our equity, or a combination of both, at our sole discretion. In connection with the BlackThorn acquisition, we also became obligated under its license agreement with The Scripps Research Institute (“TSRI”) for, among other obligations, development and regulatory milestone payments of up to $1.5 million in aggregate for the first product from each of the TSRI programs and commercial milestone payments of up to $3.5 million in aggregate for each occurrence.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our September 2021 license agreements with Amgen, we are obligated to pay Amgen up to an aggregate of $720.0 million in commercial milestone payments upon the achievement of certain sales thresholds and single digit royalties on potential annual worldwide net sales related to the CK1δ or glucocerebrosidase (“GCase”)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our license agreement, as amended, with Vanderbilt University (“Vanderbilt”), we are obligated to pay Vanderbilt up to an aggregate of $422.0 million in development and commercial milestone payments upon the achievement of certain development milestones, which includes a milestone payments of $2.0 million and $5.0 million that became due in October 2023 and July 2025, respectively, and sales thresholds, and mid</w:t>
        <w:noBreakHyphen/>
        <w:t>single digit royalties on potential future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to satisfy our obligations to make these payments, if and when they are triggered, we may need to issue equity or convertible debt securities that may cause dilution to our stockholders, or we may use our existing cash or incur debt obligations to satisfy the payment obligations in cash, which may adversely affect our financial position. In addition, these obligations may impede our ability to raise money in future public offerings of debt or equity securities or to obtain a third</w:t>
        <w:noBreakHyphen/>
        <w:t>party line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sections titled “Management’s Discussion and Analysis of Financial Condition and Results of Operations—Acquisitions of Assets” and “Management’s Discussion and Analysis of Financial Condition and Results of Operations—Strategic License and Research and Collaboration Agreements” in this Quarterly Report on Form 10-Q for additional information regarding these agreements.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to evaluate our prospects and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w:t>
        <w:noBreakHyphen/>
        <w:t>stage biopharmaceutical company with a limited operating history upon which you can evaluate our business and prospects. Since our inception in November 2019, we have devoted substantially all of our resources and efforts to building our organization, acquiring technologies and companies, executing preclinical studies and clinical trials, conducting research and development, identifying and developing potential product candidates, building our precision neuroscience tools, organizing and staffing our company, business planning, establishing, maintaining and protecting our intellectual property portfolio, raising capital and providing general and administrative support for these operations. All of our product candidates are in either clinical development or in preclinical stages of development, and we have not yet demonstrated our ability to successfully complete any late</w:t>
        <w:noBreakHyphen/>
        <w:t>stage or registrational/pivotal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clinical</w:t>
        <w:noBreakHyphen/>
        <w:t>stage biotechnology and biopharmaceutical companies in rapidly evolving fields. We also may need to transition from a company with a research focus to a company capable of supporting commercial activities. If we do not adequately address these risks and difficulties or successfully make such a transition, it could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biopharmaceutical products, including conducting preclinical studies and clinical trials, is a very time</w:t>
        <w:noBreakHyphen/>
        <w:t>consuming, expensive and uncertain process that takes years to complete. We expect our expenses to continue to increase in connection with our ongoing activities, particularly as we conduct clinical trials of, and seek regulatory and marketing approval for, our product candidates. If one or more of our product candidates is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candidates, continue to develop and deploy our precision neuroscience approach, commence additional preclinical studies and clinical trials, and continue to identify and develop additional product candidates either through internal development or through acquisitions or in</w:t>
        <w:noBreakHyphen/>
        <w:t>licensing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we obtain regulatory approval for any of our product candidates, we expect to incur significant commercialization expenses related to product manufacturing, marketing, sales and distribution. Accordingly, we will need to obtain substantial additional funding in order to support our continuing operations. If we are unable to raise capital when needed or on attractive terms, we could be forced to delay, reduce or eliminate our research and development programs or any future regulatory approval or commercialization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expend significant resources for the foreseeable future. In addition, we may seek additional capital due to favorable market conditions or strategic considerations even if we believe we have sufficient funds for our current or future operating plans. Attempting to secure additional financing may divert our management from our day</w:t>
        <w:noBreakHyphen/>
        <w:t>to</w:t>
        <w:noBreakHyphen/>
        <w:t>day activities, which may adversely affect our ability to develop our product candidates. Our future capital requirements will depend on many factors, including but not limited to:</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or future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or future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our acquisitions and licenses;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w:t>
        <w:noBreakHyphen/>
        <w:t>related claims, including any claims by third parties that we are infringing upon their intellectual property rights;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precision neuroscience approach at identifying target patient populations and utilizing our approach to enrich our patient population in our clinical trials;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access additional multimodal patient datasets;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w:t>
        <w:noBreakHyphen/>
        <w:t>party and government payers;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macroeconomic trends including inflation, tariffs, trade controls, and rising interest rates;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any potential supply chain interruptions or delays, including those related to geopolitical issues;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we will need to continue to rely on additional financing to achieve our business objectives and adequate additional financing may not be available to us on acceptable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Until such time, if ever, as we can generate substantial product revenue, we expect to finance our operations with our existing cash, cash equivalents and marketable securities, the net proceeds from our initial public offering,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For example, in October 2024 we entered into a sales agreement with Leerink Partners LLC (“Leerink”) to sell shares of our common stock, from time to time, with aggregate gross sales proceeds of up to $300.0 million, through an ATM with Leerink as the sales agent. </w:t>
      </w:r>
      <w:r>
        <w:rPr>
          <w:rFonts w:ascii="Times New Roman" w:hAnsi="Times New Roman"/>
          <w:color w:val="231F20"/>
          <w:sz w:val="20"/>
        </w:rPr>
        <w:t xml:space="preserve">During the three months ended March 31, 2026, we received aggregate net proceeds of $10.9 million through sales of shares of our common stock under the ATM after deducting commissions and offering expenses. Additionally, during the years ended December 31, 2025 and 2024, we received aggregate net proceeds of $19.7 million and $13.7 million, respectively, through sales of shares of our common stock under the ATM after deducting commissions and offering expenses. </w:t>
      </w:r>
      <w:r>
        <w:rPr>
          <w:rFonts w:ascii="Times New Roman" w:hAnsi="Times New Roman"/>
          <w:color w:val="000000"/>
          <w:sz w:val="20"/>
        </w:rPr>
        <w:t>In December 2023, we settled a Phase 3 navacaprant milestone owed to BlackThorn stockholders by primarily issuing shares of our common stock.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For example, in May 2025, we entered into a loan and security agreement (as amended, the “Loan Agreement”) with K2 HealthVentures LLC (“K2HV”), which includes certain affirmative and restrictive covenants that may, among other things, limit our ability to incur additional debt. Additionally, pursuant to the terms of the Loan Agreement, K2HV has the right to convert up to an aggregate of $12.5 million of the outstanding principal of the term loans into shares of our common stock. As of March 30, 2026, K2HV has the right to convert up to an aggregate of $6.5 million of the remaining outstanding principal into shares of common stock, which right, if exercised, could have a dilutive impact on our stockholders’ ownership interests.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w:t>
        <w:noBreakHyphen/>
        <w:t>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from sales of any of our approved product candidates, which we do not expect will occur for at least the next several years, if at all, depends heavily on the successful identification, development, regulatory approval and eventual commercialization of any product candidates, any of which may never occur. We have never generated revenue from sales of any products, and we may never be able to develop, obtain regulatory approval for, or commercialize, a marketable product. All of our product candidates will require significant clinical development, regulatory approval, establishment of sufficient manufacturing supply,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including commercial manufacturing supply, and may require us to build a commercial organization and make substantial investment and significant marketing efforts before we generate any revenue from product sales. We are not permitted to market or promote any of our product candidates before we receive regulatory approval from the FDA or comparable foreign regulatory authorities, and we may never receive such regulatory approval for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of our product candidates will depend on several factors, including, but not limited to,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studies and clinical trials for which the FDA, or any comparable foreign regulatory authority, align with the design, endpoints, or implementation;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receiving regulatory approvals, allowances or authorizations for conducting future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and successful patient enrollment in, and completion of, clinical trials on a timely basis;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demonstrate to the satisfaction of the FDA or any comparable foreign regulatory authority that the applicable product candidate is safe and effective as for its intended uses;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demonstrate to the satisfaction of the FDA or any comparable foreign regulatory authority that the applicable product candidate’s risk</w:t>
        <w:noBreakHyphen/>
        <w:t>benefit ratio for its proposed indication is acceptable;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receipt of marketing approvals for our product candidates from applicable regulatory authorities;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supply chain interruptions or delays;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any required post</w:t>
        <w:noBreakHyphen/>
        <w:t>marketing approval commitments to applicable regulatory authorities;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scaling up and scaling out, either alone or with third</w:t>
        <w:noBreakHyphen/>
        <w:t>party manufacturers, manufacturing capabilities of clinical supply for our clinical trials and commercial manufacturing, if any of our product candidates are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develop and commercialize our product candidates, which would materially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clinical or regulatory setbacks to other companies developing similar products or within adjacent fields may impact the clinical development of and regulatory pathway for our current or future product candidates, or may negatively impact the perceptions of value or risk of our technologies.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were founded to confront the greatest medical challenges of our generation by taking a fundamentally different approach to the way treatments for brain diseases are developed, fields that have seen very limited success. The ability to successfully develop drugs in these fields is extremely difficult and is subject to a number of unique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Drug development in the fields of brain diseases, including neuropsychiatric disorders and neurodegenerative diseases in particular, has seen very limited success historically. Clinical success depends on a number of factors, and developing a product candidate for treatment of these and other brain diseases is extremely difficult and subjects us to a number of unique challenges, including obtaining regulatory approval from the FDA and other regulatory authorities who have only a limited set of precedents to rely 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work closely with the FDA and comparable foreign regulatory authorities to perform the requisite scientific analyses and evaluation in an effort to obtain regulatory approval for our product candidates for brain or centrally mediated diseases; however, the process of developing our product candidates may be more complex and time-consuming relative to other more well-known approaches to drug development. We cannot be certain that our approach will lead to the development of product candidates that effectively and safely address the underlying brain or centrally mediated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given the history of clinical failures in these fields, future clinical or regulatory failures by us or others may result in further negative perception of the likelihood of success in these fields, which may significantly and adversely affect the market price of our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invested and expect to continue to invest in acquiring product candidates, technologies and assets, as well as research and development efforts that further enhance our product pipeline. Such investments may affect our operating results, and, if the return on these investments is lower or develops more slowly than we expect, our revenue and operating results may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invested and expect to continue to invest in acquiring potential product candidates to enhance our product pipeline, technologies and assets. These activities and investments involve significant time, risks, and uncertainties, including the risk that the associated expenses may affect our operating results, such investments may not generate products that can be successfully developed or technologies that can be effectively used by us, and may cause significant drains on capital resources and commit us to substantial financial obligations. While we believe that we must continue to invest a significant amount of time and resources in the development of our product pipeline, if we do not achieve the benefits anticipated from these investments, or if the achievement of these benefits is delayed, our business, operating results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experienced rapid growth since our inception in November 2019. If we fail to effectively manage our growth, we may not be able to execute on our business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92 full</w:t>
        <w:noBreakHyphen/>
        <w:t>time employees. We will continue to implement and improve our managerial, operational, and financial systems, expand our facilities, and continue to recruit and train additional qualified personnel. Due to the complexity in managing a company that has scaled very quickly, we may not be able to scale our headcount and operations effectively to manage the expansion of our product pipeline or recruit and train the necessary additional personnel. Any inability to manage growth could delay the execution of our business plans or disrupt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future growth would impose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and scaling our operational, financial and management controls, reporting systems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or contract manufacturing organizations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reasonable terms, or at all.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develop product candidates, leverage our precision neuroscience approach and our future growth depends on attracting, hiring and retaining our key personnel and recruiting additional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brain diseases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neuroscientists,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operations and research and development programs depend on our ability to attract and retain highly skilled scientists, data scientists, and engineers, particularly in Massachusetts and California.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realize the benefits of assets that we have acquired, or will acquire in the future, or other strategic transactions that we have consummated or will consummate.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approach represents an aggregation of innovation and assets from multiple companies and academic institutions, including BlackThorn, Amgen, TSRI and Vanderbilt. Further, a key component of our strategy is to acquire and in</w:t>
        <w:noBreakHyphen/>
        <w:t>license assets and technologies to support the growth of our product pipeline and to enhance our Precision Toolbox of translational neuroscience tools, methods, and data science capabilities. As such, we actively evaluate various strategic transactions on an ongoing basis. We may acquire other assets, businesses, products or technologies, as well as pursue joint ventures or investments in complementary businesses. The success of our strategic transactions and any future strategic transactions depends on the risks and uncertainties involved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liabilities related to acquired companies or joint ventures;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integrating acquired personnel, technologies, and operations into our existing business;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 to the management of acquisition and integration efforts, strategic alliances or joint ventures challenges;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in our relationships with collaborators or suppliers;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possible write</w:t>
        <w:noBreakHyphen/>
        <w:t>offs or impairment charges relating to acquired businesses or joint ventures.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these risks or uncertainties occur, we may not realize the anticipated benefit of any acquisition or strategic transaction.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acquisitions or dispositions could result in potentially dilutive issuances of our equity securities, the incurrence of debt, contingent liabilities or amortization expenses, impairments or write</w:t>
        <w:noBreakHyphen/>
        <w:t>offs of goodwill or impairments and write</w:t>
        <w:noBreakHyphen/>
        <w:t>offs of in</w:t>
        <w:noBreakHyphen/>
        <w:t>process research and development assets, any of which could harm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relied on, and in the future will continue to rely on, third</w:t>
        <w:noBreakHyphen/>
        <w:t>party datasets and databases to build and enhance our precision neuroscience approach. If we are not able to access additional data sets or develop enhancements to our precision neuroscience approach, our ability to execute on our strategy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on our drug development strategy depends in part on our ability to enhance and improve our precision neuroscience approach. As part of this approach, we interrogate public, partnered and proprietary datasets across neuropsychiatric and neurodegenerative diseases, currently encompassing genetic, imaging, electroencephalogram, digital and clinical data. We rely on these datasets and data analytics for identifying or validating some of our biomarker</w:t>
        <w:noBreakHyphen/>
        <w:t>target relationships. The success of our precision neuroscience approach and any enhancement to our approach depends on several factors, including access to and generation of additional multimodal patient datasets, whether public, partnered or proprietary, development of more advanced proprietary machine learning capabilities and increased computational storage and processing capacity. If we are unable to access additional datasets or they are not available on acceptable terms, or if we are otherwise unsuccessful in enhancing our approach, we may be limited in our precision neuroscience capabilities and not be able to fully utilize a precision neuroscience drug development strategy.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access to public data sets may be limited by governmental or other restrictions, including restrictions on commercial application by government or government sponsored organizations or privacy related restrictions. See the risk factor “We face potential liability related to the privacy of health information we utilize in the development of product candidates, as well as information we obtain from clinical trials sponsored by us from research institutions and directly from individuals” for additional information on privacy related considerations.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biopharmaceutical industries are highly competitive and subject to significant and rapid technological change. Our success is highly dependent on our ability to discover, develop and obtain marketing approval for new and innovative products on a cost</w:t>
        <w:noBreakHyphen/>
        <w:t>effective basis and to market them successfully. In doing so, we face and will continue to face intense competition from a variety of businesses, including large biopharmaceutical and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Mergers and acquisitions in the biotechnology and biopharmaceutical industries may result in even more resources being concentrated in our competitors. Competition may increase further as a result of advances in the commercial applicability of technologies and greater availability of capital for investment in these industries.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the proliferation of new drugs and therapies for our target indications,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biopharmaceutical industries could render our product candidates or our technology obsolete, less competitive or uneconomical. Our competitors may, among other things: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significantly greater financial, manufacturing, marketing, drug development, technical, and human resources than we do;</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and commercialize products that are safer, more effective, less expensive, more convenient or easier to administer, or have fewer or less severe side effects;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quicker regulatory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superior proprietary positions covering our products and technologies;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 more effective approaches to sales and marketing; 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form more advantageous strategic alliances.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any of these factors occur, our business, financial condition and results of operations could be materially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developing or acquiring technologies complementary to, or necessary for, our programs.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therapeutic platforms, and product candidates that we identify for specific indications. Additionally, we have contractual commitments under the agreements for various product candidate assets that we acquired from third parties, as well as our license and collaboration agreements, to use commercially reasonable efforts to develop certain programs and, thus, do not have unilateral discretion to vary from such agreed to efforts. In addition, we have contractual commitments to conduct certain development plans, and thus may not have discretion to modify such development plans, including clinical trial designs, without agreement from our collaboration partner.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upon third</w:t>
        <w:noBreakHyphen/>
        <w:t>party providers of cloud</w:t>
        <w:noBreakHyphen/>
        <w:t>based infrastructure to host our platforms. Any disruption in the operations of these third</w:t>
        <w:noBreakHyphen/>
        <w:t>party providers, limitations on capacity, or interference with our use could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outsource substantially all of the technological infrastructure relating to our hosted platforms to third</w:t>
        <w:noBreakHyphen/>
        <w:t>party hosting services, such as Amazon Web Services. We have no control over any of these third parties, and while we attempt to reduce risk by minimizing reliance on any single third party or its operations, we cannot guarantee that such third</w:t>
        <w:noBreakHyphen/>
        <w:t>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w:t>
        <w:noBreakHyphen/>
        <w:t>party hosting services by maintaining its configuration, architecture, features, and interconnection specifications, as well as protecting the information stored in these virtual data centers, which is transmitted by third</w:t>
        <w:noBreakHyphen/>
        <w:t>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w:t>
        <w:noBreakHyphen/>
        <w:t>party hosting services could adversely affect our business, financial condition, and results of operations. In addition, any incident affecting our third</w:t>
        <w:noBreakHyphen/>
        <w:t>party hosting services’ infrastructure that may be caused by cyber</w:t>
        <w:noBreakHyphen/>
        <w:t>attacks, natural disasters, fire, flood, severe storm, earthquake, power loss, telecommunications failures, terrorist or other attacks, and other disruptive events beyond our control could negatively affect our hosted platforms. A prolonged service disruption affecting our hosted platforms could damage our reputation or otherwise harm our business. We may also incur significant costs for using alternative equipment or taking other actions in preparation for, or in reaction to, events that damage the third</w:t>
        <w:noBreakHyphen/>
        <w:t>party hosting services we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our service agreements with our third</w:t>
        <w:noBreakHyphen/>
        <w:t>party hosting services are terminated, or there is a lapse of service, elimination of services or features that we utilize, interruption of internet service provider connectivity, or damage to such facilities, we could experience interruptions in access to our platforms as well as significant delays and additional expense in arranging or creating new facilities and services and/or re</w:t>
        <w:noBreakHyphen/>
        <w:t>architecting our hosted platforms for deployment on a different cloud infrastructure service provider, which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precision neuroscience tools utilize third</w:t>
        <w:noBreakHyphen/>
        <w:t>party open source software, and any failure to comply with the terms of one or more of these open source software licenses could adversely affect our business, subject us to litigation, or create potential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precision neuroscience tools include software licensed by third parties under any one or more open source licenses, and we expect to continue to incorporate open source software in our precision neuroscience tools in the future. While we have a process in place for monitoring the use of open source software by our employees, we cannot ensure we are aware of every instance of such use or have validated the quality or source of such software, or that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resources to change our precision neuroscience tools. Furthermore, these third</w:t>
        <w:noBreakHyphen/>
        <w:t>party open source providers could experience service outages, data loss, privacy breaches, cyber</w:t>
        <w:noBreakHyphen/>
        <w:t>attacks, and other events relating to the applications and services they provide that could diminish the utility of these services and which could harm our business as a result.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Use of open source software may entail greater risks than use of third</w:t>
        <w:noBreakHyphen/>
        <w:t>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w:t>
        <w:noBreakHyphen/>
        <w:t>engineer all or a portion of our precision neuroscience tools, or otherwise be limited in the licensing of our precision neuroscience tools, each of which could reduce or eliminate the value of our precision neuroscience tools. Disclosing our proprietary source code could allow our competitors to create similar products with lower development effort and time and ultimately could result in a loss of sales. Furthermore, any such re</w:t>
        <w:noBreakHyphen/>
        <w:t>engineering or other remedial efforts could require significant additional research and development resources, and we may not be able to successfully complete any such re</w:t>
        <w:noBreakHyphen/>
        <w:t>engineering or other remedial efforts. Any of these events could create liability for us and damage our reputation, which could have a material adverse effect on our revenue, business, results of operations, and financial condition and the market price of our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Development and Clinical Testing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and preclinical drug development is a lengthy and expensive process, with an uncertain outcome. Our clinical and preclinical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obtain FDA approval to market our product candidates, we must demonstrate the safety and efficacy of our product candidates in humans to the satisfaction of the FDA. To meet these requirements, we will have to conduct adequate and well</w:t>
        <w:noBreakHyphen/>
        <w:t>controlled clinical trials. Clinical testing is expensive, time</w:t>
        <w:noBreakHyphen/>
        <w:t>consuming and subject to uncertainty. Conducting preclinical testing and clinical trials represents a lengthy, time</w:t>
        <w:noBreakHyphen/>
        <w:t>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but not limited to:</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inability to generate sufficient preclinical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 xml:space="preserve">in vitro </w:t>
      </w:r>
      <w:r>
        <w:rPr>
          <w:rFonts w:ascii="Times New Roman" w:hAnsi="Times New Roman"/>
          <w:color w:val="000000"/>
          <w:sz w:val="20"/>
        </w:rPr>
        <w:t>data to support the initiation of clinical studies;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completion of preclinical laboratory tests, animal studies and formulation studies in accordance with FDA’s Good Laboratory Practice (“GLP”) requirements and other applicable regulations;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by an independent Institutional Review Board (“IRB”) or ethics committee at each clinical site before each trial may be initiated;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agencies on study design and obtaining regulatory authorization to commence clinical trials; delays in 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manufacturing, testing, releasing, validating or importing/exporting sufficient stable quantities of our product candidates for use in clinical trials or the inability to do any of the foregoing;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or inadequate supply or quality of product candidates or other materials necessary for use in clinical trials, or delays in sufficiently developing, characterizing or controlling a manufacturing process suitable for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temporary or permanent clinical hold by regulatory authorities;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screening and enrolling patients and delays caused by patients withdrawing from clinical trials or failing to return for post</w:t>
        <w:noBreakHyphen/>
        <w:t>treatment follow</w:t>
        <w:noBreakHyphen/>
        <w:t>up;</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collaborating with patient groups and investigators;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other third parties or us to adhere to clinical trial protocols; failure to perform in accordance with the FDA’s or any other regulatory authority’s good clinical practice (“GCP”) requirements, or applicable regulatory guidelines in other countries;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associated with the product candidate that are viewed to outweigh its potential benefits, or occurrence of adverse events in trial of the same class of agents conducted by other companies;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clinical trial protocols;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standard of care on which a clinical development plan was based, which may require new or additional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selection of clinical endpoints that require prolonged periods of observation or analyses of resulting data;</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we anticipate;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producing negative or inconclusive results, which may result in our deciding, or regulators requiring us, to conduct additional clinical trials or abandon development of such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transfer of manufacturing processes to larger</w:t>
        <w:noBreakHyphen/>
        <w:t>scale facilities operated by a contract manufacturing organization (“CMO”) and delays or failure by our CMOs or us to make any necessary changes to such manufacturing process;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being unwilling or unable to satisfy their contractual obligations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must be conducted in accordance with the FDA’s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For example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It is currently unclear to what extent the United Kingdom (“UK”) will seek to align its regulations with the European Union (“EU”). The UK regulatory framework in relation to clinical trials is derived from existing EU legislation (as implemented into UK law, through secondary legislation).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published its consultation outcome on March 21, 2023 confirming that it would bring forward changes to the legislation. These resulting legislative amendments, which are yet to be published, will ultimately determine the extent to which the UK regulations align with the EU CTR. A decision by the UK not to closely align its regulations with the new approach adopted in the EU may have an effect on the cost of conducting clinical trials in the UK as opposed to other countries.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governing clinical trials, our development plans may be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Results of preclinical studies or clinical trials of any product candidates may not be predictive of the results of future preclinical studies or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we or any collaborator for such product candidate must demonstrate through extensive preclinical studies and clinical trials that the product candidate is safe and effective in humans. Before an investigational new drug application (“IND”) can be submitted to the FDA and become effective, which is a prerequisite for conducting clinical trials on human subjects in the United States, a product candidate must successfully progress through extensive preclinical studies, which include preclinical laboratory testing, animal studies, and formulation studies, certain of which must be conducted in accordance with GLP. We cannot be certain of the timely completion or outcome of any preclinical studies. We also cannot predict if the FDA or comparable foreign regulatory authorities will allow our proposed clinical programs to proceed or if the outcome of our preclinical studies will ultimately support further development of our programs. Additionally, we cannot be sure that we will be able to submit INDs or similar applications with respect to our product candidates on the timelines we expect, if at all, and we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cannot be sure that submission of IND or similar applications will result in the FDA or other regulatory authorities allowing clinical trials to begin.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success in preclinical studies or early clinical trials does not ensure that later preclinical studies or clinical trials will be successful. A number of companies in the biotechnology and biopharmaceutical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In addition, clinical and preclinical data are often susceptible to varying interpretations and analyses. Notwithstanding any potential promising results in earlier studies, we cannot be certain that we will not face similar setbacks. For example, in January 2025, we announced that our KOASTAL-1 study did not demonstrate a statistically significant improvement on the primary endpoint of change from baseline in the Montgomery-Åsberg Depression Rating Scale (“MADRS”) total score at Week 6 or the key secondary endpoint of a change from baseline in the Snaith-Hamilton Pleasure Scale (“SHAPS”) scale. In addition, the results of our preclinical animal studies, including our non</w:t>
        <w:noBreakHyphen/>
        <w:t>human primate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receive positive results in preclinical studies or clinical trials of any product candidate, the development timeline and regulatory approval and commercialization prospects for that product candidate, and, correspondingly, our business and financial prospects, would be negatively impacted.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candidates may have serious adverse, undesirable, or unacceptable side effects or other properties that may delay or prevent marketing approval. If such side effects are identified following approval, if any, the commercial profile of any approved label may be limited, or we may be subject to other significant negative consequences following marketing approval, if 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our clinical trials could reveal a high and unacceptable severity and prevalence of side effects or unexpected characteristics. Undesirable side effects that may be caused by our product candidates could cause us or regulatory authorities to interrupt, delay, or halt clinical trials and could result in a more restrictive label or the delay or denial of regulatory approval by the FDA or comparable foreign authorities. The drug</w:t>
        <w:noBreakHyphen/>
        <w:t>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w:t>
        <w:noBreakHyphen/>
        <w:t>benefit perspective, which may limit the commercial expectations for the product candidate if approved. We may also be required to modify our study plans based on findings in our ongoing preclinical studies or clinical trials. For example, in a rat study, at its highest dose (100 mg/kg/day) navacaprant was observed to have skin</w:t>
        <w:noBreakHyphen/>
        <w:t>related phototoxicity of erythema, edema and flaking additionally ocular phototoxicity (corneal edema). While no phototoxicity has been observed in our Phase 1 clinical trials, we monitored visual acuity and corneal integrity in our Phase 2 clinical trial to confirm there was no phototoxicity in humans. Though we did not observe any phototoxicity effects in our Phase 2 clinical trial, if phototoxicity is experienced in our later</w:t>
        <w:noBreakHyphen/>
        <w:t>stage clinical trials, the labeling implications of such safety warnings may limit any future product sales, if navacaprant is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any of our product candidates receives marketing approval and we or others later identify undesirable or unacceptable side effects caused by such products, a number of potentially significant negative consequences could result,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withdraw or limit approvals of such products and require us to take our approved product off the market;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the addition of labeling statements, specific warnings, a contraindication or field alerts to physicians and pharmacies, or issue other communications containing warnings or other safety information about the product;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dose or the way the product is administered, conduct additional clinical trials, or change the labeling of the product;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limitations on how we may promote or manufacture the product;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the product may decrease significantly;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litigation or product liability claims;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preliminary or topline data from our preclinical studies and clinical trials, which is based on a preliminary analysis of then</w:t>
        <w:noBreakHyphen/>
        <w:t>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prospects, financial condition or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clinical trials requires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The eligibility criteria of our clinical studies, and in particular, any eligibility criteria we may establish using our precision neuroscience approach, may limit the pool of available study participants as we will require that patients have specific characteristics that we can measure or to assure their disease is either severe enough or not too advanced to include them in a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depends on many factors,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administration of our product candidates or trial completion;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factors may make it difficult for us to enroll enough patients to complete our clinical trials in a timely and cost</w:t>
        <w:noBreakHyphen/>
        <w: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estimates of market opportunity and forecasts of market growth included in our public disclosures may prove to be smaller than we believe, and even if the markets in which we compete achieve the forecasted growth, our business may not grow at similar rates,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various neuropsychiatric disorders and neurodegenerative diseases. Our projections of addressable patient populations within any particular disease state that may benefit from treatment with our product candidates are based on our estimates. Market opportunity estimates and growth forecasts included in our public disclosures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inaccurate, the market opportunity for any product candidate that we or our strategic partners develop could be significantly diminished and have an adverse material impact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approved, our products may not gain market acceptance, in which case we may not be able to generate product revenues, which will materially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the FDA or any comparable foreign regulatory authority approves the marketing of any product candidates that we develop, physicians, healthcare providers, patients, or the medical community may not accept or use them. Additionally, the product candidates that we are developing are based on our proprietary approach, which are new technologies. If these products do not achieve an adequate level of acceptance, we may not generate significant product revenues or any profits from operations. The degree of market acceptance of any of our product candidates will depend on a variety of factors,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clinical profile of competing products;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provide acceptable evidence of safety and efficacy;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w:t>
        <w:noBreakHyphen/>
        <w:t>effectiveness;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diagnostics and screening infrastructure in each market;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other new therapies for the same indications;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about our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of coverage, adequate reimbursement and sufficient payment from health maintenance organizations and other insurers, both public and private, for our product candidates, or the procedures utilizing our product candidates, if approved;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out</w:t>
        <w:noBreakHyphen/>
        <w:t>of</w:t>
        <w:noBreakHyphen/>
        <w:t>pocket in the absence of coverage by third</w:t>
        <w:noBreakHyphen/>
        <w:t>party payors and government authorities;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potential advantages over alternative treatment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our stage of development, we currently have no marketing, sales, and distribution capabilities. If any of our product candidates complete clinical development and are approved, we intend to either establish a sales and marketing organization with technical expertise and supporting distribution capabilities to commercialize our product candidates,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potential product liability and professional indemnity risks that are inherent in the research, development, manufacturing, marketing, and use of biopharmaceutical products. While we currently have no products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patients who should not use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successful defense against product liability claims would require significant financial and management resources. Regardless of the merits or eventual outcome, liability claims may result in: decreased demand for our product candidates; injury to our reputation; withdrawal of clinical trial participants; initiation of investigations by regulators; costs to defend the related litigation; a diversion of management’s time and our resources; substantial monetary awards to trial participants or patients; product recalls, withdrawals or labeling, marketing or promotional restrictions; loss of revenue; exhaustion of any available insurance and our capital resources; the inability to commercialize any product candidate; and a decline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Regulatory Environment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development and commercialization of drug products is subject to extensive regulation, and the regulatory approval processes of the FDA and comparable foreign authorities are lengthy, time</w:t>
        <w:noBreakHyphen/>
        <w:t>consuming, and inherently unpredictable. If we are ultimately unable to obtain regulatory approval for our product candidates on a timely basis if at all, our business will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development, manufacturing, labeling, packaging, storage, recordkeeping, advertising, promotion, export, import, marketing, distribution, adverse event reporting, including the submission of safety and other post</w:t>
        <w:noBreakHyphen/>
        <w:t>marketing information and reports, and other possible activities relating to our product candidates are subject to extensive regulation. In the United States, obtaining marketing approval for a new drug requires the submission of a New Drug Application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previously submitted an NDA to the FDA or similar marketing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application. In addition, 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w:t>
        <w:noBreakHyphen/>
        <w:t>use criteria and requiring treated patients to enroll in a registry.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for many reasons, including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its proposed indication;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or persuasiveness required by the FDA or comparable foreign regulatory authorities for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fail to approve our manufacturing processes or facilities or those of third</w:t>
        <w:noBreakHyphen/>
        <w:t>party manufacturers with which we contract for clinical and commercial supplies;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clinical and preclinical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w:t>
        <w:noBreakHyphen/>
        <w: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FDA or a comparable foreign regulatory authority approves any of our product candidates, the manufacturing processes, testing, safety, efficacy, labeling, packaging, distribution, import, export, adverse event reporting, storage, advertising, promotion, and recordkeeping for the product will be subject to extensive and ongoing regulatory requirements. These requirements include submissions of safety and other post</w:t>
        <w:noBreakHyphen/>
        <w:t>marketing information and reports, and registration, as well as continued compliance with current good manufacturing practices (“cGMPs”) and similar foreign requirements, and GCPs for any clinical trials that we conduct post</w:t>
        <w:noBreakHyphen/>
        <w: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w:t>
        <w:noBreakHyphen/>
        <w:t>marketing testing, including Phase 4 clinical trials, and additional surveillance to monitor the safety and efficacy of the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Manufacturers and manufacturers’ facilities are required to comply with extensive FDA and comparable foreign regulatory authority requirements, including ensuring that quality control and manufacturing procedures conform to cGMP and similar foreign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quality control, and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or require us to issue, safety</w:t>
        <w:noBreakHyphen/>
        <w:t>related communications, such as safety alerts, field alerts, “Dear Doctor” letters to healthcare professionals, or import alerts;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limit, or withdraw regulatory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any of our preclinical studies and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approve pending applications or supplements to approved applications;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restrictions on our operations, including closing our and our contract manufacturers’ facilities; 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conduct a product recall.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w:t>
        <w:noBreakHyphen/>
        <w:t>label uses. If we are found or alleged to have improperly promoted off</w:t>
        <w:noBreakHyphen/>
        <w:t>label uses, we may become subject to significant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other regulatory agencies strictly regulate the promotional claims that may be made about drug products. These regulations include standards and restrictions for direct</w:t>
        <w:noBreakHyphen/>
        <w:t>to</w:t>
        <w:noBreakHyphen/>
        <w:t>consumer advertising, industry</w:t>
        <w:noBreakHyphen/>
        <w:t>sponsored scientific and educational activities, promotional activities involving the internet and off</w:t>
        <w:noBreakHyphen/>
        <w:t>label promotion. For example, any regulatory approval that the FDA grants is limited to those indications and patient populations for which a drug is deemed to be safe and effective by the FDA.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physicians in the United States may choose, and are generally permitted, to prescribe products in their independent medical judgment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w:t>
        <w:noBreakHyphen/>
        <w:t>label uses, we may become subject to significant liability. For example, the federal government has levied large civil and criminal fines against companies for alleged improper promotion and has enjoined several companies from engaging in off</w:t>
        <w:noBreakHyphen/>
        <w:t>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reductions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reductions in staffing,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prolonged government shutdown occurs, or if funding shortages, staffing reductions or similar constraints or events prevent the FDA or other regulatory authorities from conducting their regular inspections, reviews or other activities, such events or circumstances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w:t>
        <w:noBreakHyphen/>
        <w:t>corruption laws, and anti</w:t>
        <w:noBreakHyphen/>
        <w:t>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“FCPA”), the U.S. domestic bribery statute contained in 18 U.S.C. § 201, the U.S. Travel Act, the USA PATRIOT Act, and other state and national anti</w:t>
        <w:noBreakHyphen/>
        <w:t>bribery and anti</w:t>
        <w:noBreakHyphen/>
        <w:t>money laundering laws in the countries in which we conduct activities. Anti</w:t>
        <w:noBreakHyphen/>
        <w:t>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w:t>
        <w:noBreakHyphen/>
        <w: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operations and current and future relationships with healthcare professionals, principal investigators, consultants, vendors, customers, and third</w:t>
        <w:noBreakHyphen/>
        <w:t>party payors in the United States and elsewhere are subject to applicable anti</w:t>
        <w:noBreakHyphen/>
        <w:t>kickback, fraud and abuse, false claims, physician payment transparency, and other healthcare laws and regulations, which could expose us to substantial penalties, contractual damages, reputation harm, administrative burdens, and diminished profits.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healthcare facilities and institutions and third</w:t>
        <w:noBreakHyphen/>
        <w:t>party payors in the United States and elsewhere will play a primary role in the recommendation and prescription of any product candidates for which we obtain marketing approval. Our current and future arrangements with healthcare professionals, healthcare facilities and institutions, principal investigators, consultants, customers, and third</w:t>
        <w:noBreakHyphen/>
        <w:t>party payors may expose us to broadly applicable fraud and abuse and other healthcare laws, including, without limitation, the federal Anti</w:t>
        <w:noBreakHyphen/>
        <w:t>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government and by the states and foreign jurisdictions in which we conduct our business. The applicable federal, state, and foreign healthcare laws that affect our ability to operate include, but are not limited to,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w:t>
        <w:noBreakHyphen/>
        <w:t>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civil and criminal false claims laws, including the civil False Claims Act, which prohibit, among other things, including through civil whistleblower or qui tam actions,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among other things, engaging in impermissible marketing practices, such as the off</w:t>
        <w:noBreakHyphen/>
        <w:t>label promotion of a product for an indication for which it has not received FDA approval. In addition, the government may assert that a claim including items and services resulting from a violation of the federal Anti</w:t>
        <w:noBreakHyphen/>
        <w:t>Kickback Statute constitutes a false or fraudulent claim for purposes of the civil False Claims Act;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noBreakHyphen/>
        <w:t>Kickback Statute, a person or entity does not need to have actual knowledge of the healthcare fraud statute implemented under HIPAA or specific intent to violate it in order to have committed a violation;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Physician Payments Sunshine Act and its implementing regulations, which requires, among other things, certain manufacturers of drugs and devices that are reimbursable under Medicare, Medicaid, or the Children’s Health Insurance Program, with specific exceptions, to report annually to the Centers for Medicare and Medicaid Services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U.S. state laws and regulations, including: state anti</w:t>
        <w:noBreakHyphen/>
        <w:t>kickback and false claims laws, which may apply to our business practices, including but not limited to, research, distribution, sales and marketing arrangements, and claims involving healthcare items or services reimbursed by any third</w:t>
        <w:noBreakHyphen/>
        <w:t>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 healthcare laws and regulations in foreign jurisdictions, including reporting requirements detailing interactions with and payments to healthcare providers.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Ensuring that our internal operations and future business arrangements with third parties comply with applicable healthcare laws and regulations will involve substantial costs.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Because of the complex and far</w:t>
        <w:noBreakHyphen/>
        <w:t xml:space="preserve">reaching nature of these laws, it is possible that governmental authorities could conclude that our payments to physicians may not be fair market value for </w:t>
      </w:r>
      <w:r>
        <w:rPr>
          <w:rFonts w:ascii="Times New Roman" w:hAnsi="Times New Roman"/>
          <w:i/>
          <w:color w:val="000000"/>
          <w:sz w:val="20"/>
        </w:rPr>
        <w:t xml:space="preserve">bona fide </w:t>
      </w:r>
      <w:r>
        <w:rPr>
          <w:rFonts w:ascii="Times New Roman" w:hAnsi="Times New Roman"/>
          <w:color w:val="000000"/>
          <w:sz w:val="20"/>
        </w:rPr>
        <w:t>services or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w:t>
        <w:noBreakHyphen/>
        <w: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w:t>
        <w:noBreakHyphen/>
        <w:t>consuming and may require significant personnel resources. Therefore, even if we are successful in defending against any such actions that may be brought against us, our business may be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principal investigators, consultants, commercial partners and vendors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of employee fraud or other misconduct. 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employment, foreign corrupt practices, trade restrictions and sanctions, environmental, competition, and patient privacy and other privacy laws and regulations. Misconduct by employees could include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w:t>
        <w:noBreakHyphen/>
        <w:t>dealing, and other abusive practices. These laws and regulations may restrict or prohibit a wide range of pricing, discounting, labeling,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and any future collaborators to obtain marketing approval of and commercialize our product candidates and affect the prices we, or they, may obtain.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of importance to the biopharmaceutical and biotechnology industries are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and importers of certain branded prescription drugs are required to pay an annual, nondeductible fee according to their market share of all such sales;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 to 23.1% of the average manufacturer price for most branded drugs, and to 13.0% for generic drug;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certain drugs, including our product candidates, that are inhaled, infused, instilled, implanted, or injected;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extension of manufacturers’ Medicaid rebate liability to covered outpatient drugs dispensed to individuals who are enrolled in Medicaid managed care organizations;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the entities eligible for discounts under the 340B drug pricing program;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new Patient</w:t>
        <w:noBreakHyphen/>
        <w:t>Centered Outcomes Research Institute to oversee, identify priorities in, and conduct comparative clinical effectiveness research, along with funding for such research;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Thus, the ACA remains in effect in its current form. On August 16, 2022, the Inflation Reduction Act of 2022 (the “IRA”) was signed into law, which, among other things, extended enhanced subsidies for individuals purchasing health insurance coverage in ACA marketplaces through plan year 2025. It is unclear how other healthcare reform measures of the Trump administration or other efforts, if any, to challenge, repeal or replace the ACA, will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on March 11, 2021, the American Rescue Plan Act of 2021 was signed into law, which eliminated the statutory Medicaid drug rebate cap, beginning January 1, 2024. The rebate was previously capped at 100% of a drug’s average manufacturer price. Further, in August 2011, the Budget Control Act of 2011, among other things, included aggregate reductions of Medicare payments to providers. These reductions went into effect in April 2013 and, due to subsequent legislative amendments to the statute, will remain in effect until 2032, with the exception of a temporary suspension from May 1, 2020 through March 31, 2022, unless additional action is taken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heightened governmental scrutiny is likely to continue over the manner in which manufacturers set prices for their marketed products, which already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Most recently, the IRA marks the most significant action by Congress with respect to the biopharmaceutical industry since adoption of the ACA in 2010.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Manufacturers that fail to comply with the IRA may be subject to various penalties, including civil monetary penalties. The IRA permits the Secretary of the Department of Health and Human Services (“HHS”) to implement many of these provisions through guidance, as opposed to regulation, for the initial years. CMS has published the negotiated prices for the initial ten drugs, which went into effect in January 2026, and the subsequent 15 drugs, which will first be effective in 2027, as well as the next 15 drugs subject to negotiation, although the program is currently subject to legal challenges. For that and other reasons, it is currently unclear how the IRA will be effectuated, and while the impact of the IRA on the biopharmaceutical industry cannot yet be fully determined, it is likely to be significant.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One Big Beautiful Bill Act, which was enacted in July 2025,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investigational products, if approved. On the one hand, President Trump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In April 2026, the Trump administration issued a proclamation imposing tariffs on imports of patented pharmaceuticals, biologics and associated ingredients into the U.S., beginning July 31, 2026. Any manufacturers that entered into a company-specific agreement with the government prior to the proclamation will not be subject to any additional tariffs until January 20, 2029.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individual states in the United States have passed legislation and implemented regulations designed to control biopharmaceutical product pricing and costs. Similar developments have occurred outside of the United States, including in the EU where healthcare budgetary constraints have resulted in restrictions on the pricing and reimbursement of medicines by relevant health service providers. To obtain reimbursement or pricing approval in some EU member states, we may be required to conduct studies that compare the cost</w:t>
        <w:noBreakHyphen/>
        <w:t>effectiveness of our product candidates to other therapies that are considered the local standard of 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the IRA or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are able to commercialize any product candidate, coverage and adequate reimbursement may not be available or such product candidate may become subject to unfavorable pricing regulations or third</w:t>
        <w:noBreakHyphen/>
        <w:t>party coverage and reimbursement policies, which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coverage and adequate reimbursement for these products and related treatments will be available from third</w:t>
        <w:noBreakHyphen/>
        <w:t>party payors, such as government authorities, private health insurers, and other organizations. Even if we succeed in bringing one or more products to the market, these products may not be considered cost</w:t>
        <w:noBreakHyphen/>
        <w:t>effective, and the amount reimbursed for any products may be insufficient to allow us to sell our products on a competitive basis. Because our programs are in the relatively early stages of development, we are unable at this time to determine their cost effectiveness or the likely level or method of coverage and reimbursement. Increasingly, the third</w:t>
        <w:noBreakHyphen/>
        <w:t>party payors who reimburse patients or healthcare providers are requiring that drug companies provide them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significant delays in obtaining reimbursement for newly</w:t>
        <w:noBreakHyphen/>
        <w:t>approved drug products, and coverage may be more limited than the purposes for which the drug product is approved by the FDA or comparable foreign regulatory authorities. Moreover, eligibility for reimbursement does not imply that any drugs product will be reimbursed in all cases or at a rate that covers our costs, including research, development, manufacture, sale, and distribution.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w:t>
        <w:noBreakHyphen/>
        <w:t>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no uniform policy for coverage and reimbursement exists in the United States, and coverage and reimbursement can differ significantly from payor to payor. Third</w:t>
        <w:noBreakHyphen/>
        <w:t>party payors often follow Medicare coverage policy and payment limitations in setting their own reimbursement rates, but also have their own methods and approval process apart from Medicare determinations. As a result, the coverage determination process is often a time</w:t>
        <w:noBreakHyphen/>
        <w:t>consuming and costly process that will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w:t>
        <w:noBreakHyphen/>
        <w:t>by</w:t>
        <w:noBreakHyphen/>
        <w:t>payor basis. One payor’s determination to provide coverage for a drug does not assure that other payors will also provide coverage and adequate reimbursement for the drug. Additionally, a third</w:t>
        <w:noBreakHyphen/>
        <w:t>party payor’s decision to provide coverage for a therapy does not imply that an adequate reimbursement rate will be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coverage and reimbursement approval for a product;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promptly obtain coverage and adequate reimbursement from both third</w:t>
        <w:noBreakHyphen/>
        <w:t>party payors for the product candidates that we may develop and for which we obtain regulatory approval could have a material and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potential liability related to the privacy of health information we utilize in the development of product candidates, as well as information we obtain from clinical trials sponsored by us from research institutions and directly from individuals.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data protection landscape is rapidly evolving and we and our partners and vendors are, or may become, subject to various federal, state, and foreign data protection laws and regulations that address personal information,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If we fail to comply with these laws and regulations, we may be subject to litigation, regulatory investigations, enforcement notices, enforcement actions, fines, and criminal or civil penalties, as well as adverse publicity and a potential loss of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w:t>
        <w:noBreakHyphen/>
        <w:t xml:space="preserve">related and other personal information could apply to our operations or the operations of our partners. For example, most healthcare providers, including research institutions from which we obtain patient health information, are subject to privacy and security regulations promulgated under HIPAA, as amended by the Health Information Technology for Economic and Clinical Health Act of 2009. HIPAA imposes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We could potentially face substantial criminal or civil penalties if we violate HIPAA. For example, we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could be subject to significant penalties if we knowingly receive individually identifiable health information from a HIPAA</w:t>
        <w:noBreakHyphen/>
        <w:t xml:space="preserve">covered healthcare provider or research institution that has not satisfied HIPAA’s requirements for disclosure of individually identifiable health information, or otherwise violate applicable HIPAA requirements related to the protection of such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a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maintain certain sensitive information about individuals, including health-related information, that we receive throughout the clinical trial process, in the course of our research collaborations, and directly from individuals (or their healthcare providers) who enroll in our patient assistance programs. As such, we may be subject to state laws and regulations governing the privacy and security of personal information or requiring notification of affected individuals and state regulators in the event of a breach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Although there are limited exemptions for health</w:t>
        <w:noBreakHyphen/>
        <w:t>related information, including clinical trial data, the CCPA may increase our compliance costs and potential liability. Similar laws have been passed in other states, reflecting a trend toward more stringent privacy legislation in the United States. The enactment of such laws could have potentially conflicting requirements that would make compliance challenging.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Complying with U.S. federal and state data privacy and security laws, regulations, amendments to or re</w:t>
        <w:noBreakHyphen/>
        <w:t>interpretations of existing data privacy and security laws and regulations and contractual or other obligations relating to privacy, data protection, data transfers, data localization or information security may require us to make changes to our processes,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significant costs for remediation, damage to our reputation or other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or may become subject to rapidly evolving data protection laws, rules and regulations in foreign jurisdictions. Any clinical trial programs and research collaborations that we engage in outside the United States may implicate international data protection laws, including, in the European Economic Area (“EEA”), the General Data Protection Regulation (“GDPR”), which became effective in 2018. The GDPR imposes stringent operational requirements for processors and controllers of the personal data of individuals within the EEA. Among other things, the GDPR requires detailed information to be given to data subjects regarding our processing of their personal data, including, for example, notices for clinical trial subjects and investigators, as well as requirements regarding the security of personal data and notification of data processing obligations or security incidents to appropriate data protection authorities or data subjects. If our privacy or data security measures fail to comply with the GDPR requirements, we may be subject to litigation, regulatory investigations, enforcement notices, enforcement actions requiring us to change the way we use personal data and/or fines. In addition to statutory enforcement, a personal data breach can lead to adverse publicity and a potential loss of business. Further, from January 1, 2021, companies have had to comply with both the GDPR and the United Kingdom GDPR (“UK GDPR”), which, together with the amended UK Data Protection Act 2018, imposes separate but similar obligations to those under the GDPR. The UK GDPR mirrors the fines under the GDPR, imposing fines up to the greater of €20 million (£17.5 million) or 4% of global turnover. These laws and regulations may apply, not only to us, but also to vendors that store or otherwise process data on our behalf, such as information technology vendors. If such a vendor misuses data we have provided to it, or fails to safeguard such data, we may be subject to litigation, regulatory investigations, enforcement notices, and/or enforcement actions, as well as adverse publicity and a potential loss of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other requirements, the GDPR and UK GDPR regulate transfers of personal data subject to the GDPR or UK GDPR to third countries that have not been found to provide adequate protection to such personal data, including the United States, and the efficacy and longevity of current transfer mechanisms between the EEA or UK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w:t>
        <w:noBreakHyphen/>
        <w:t>by</w:t>
        <w:noBreakHyphen/>
        <w:t xml:space="preserve">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 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likely to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w:t>
        <w:noBreakHyphen/>
        <w:t>consuming to defend, and could result in adverse publicity that could harm our business. Moreover, even if we take all necessary action to comply with regulatory requirements, we could be subject to a hack or data breach, which could subject us to fines and penalties, as well as reputational damage.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we use artificial intelligence (“AI”), machine learning, and automated decision-making technologies (collectively, “AI Technologies”) throughout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have either entered into force in the United States and the EU or are expected to enter into force in 2026.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instance, California enacted a number of new laws that further regulate use of AI Technologies and provide consumers with additional protections around companies’ use of AI Technologies, such as requiring companies to disclose certain uses of generative AI. Other states have also passed AI-focused legislation. For example, on March 13, 2024, Utah passed the Utah AI Policy Act, which took effect in May 2024, imposing certain disclosure requirements on the use of AI, and on May 17, 2024, Colorado enacted the Colorado AI Act, which will take effect in February 2026. Further, the California Privacy Protection Agency recently finalized regulations under the CCPA regarding the use of automated decision-making. Such additional regulations may impact our ability to develop, use, procure and commercialize AI Technologies in the future.</w:t>
      </w:r>
    </w:p>
    <w:p>
      <w:pPr>
        <w:pStyle w:val="TextBody"/>
        <w:bidi w:val="0"/>
        <w:jc w:val="both"/>
        <w:rPr>
          <w:rFonts w:ascii="Times New Roman" w:hAnsi="Times New Roman"/>
          <w:color w:val="000000"/>
          <w:sz w:val="20"/>
        </w:rPr>
      </w:pPr>
      <w:r>
        <w:rPr>
          <w:rFonts w:ascii="Times New Roman" w:hAnsi="Times New Roman"/>
          <w:color w:val="000000"/>
          <w:sz w:val="20"/>
        </w:rPr>
        <w:t xml:space="preserve">In Europe, on May 21, 2024, EU legislators approved the EU Artificial Intelligence Act (the “EU AI Act”), which establishes a comprehensive, risk-based governance framework for artificial intelligence in the EU market. The EU AI Act entered into force on August 1, 2024 and the majority of the substantive requirements will apply from August 2, 2026.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Recent case law from the CJEU has taken an expansive view of the scope of the GDPR’s requirements around automated decision making and introduced uncertainty in the interpretation of these rules. The EU AI Act, and developing interpretation and application of the GDPR in respect of automated decision making, together with developing guidance and/or decisions in this area, may affect our use of AI Technologies and our ability to provide, improve or commercialize our business, require additional compliance measures and changes to our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and processes, result in increased compliance costs and potential increases in civil claims against us, and could adversely affect our business,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business and the way in which we use AI Technologies. We may need to expend resources to adjust our operations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the infrastructure or internal capability to manufacture supplies of our product candidates for use in development and commercialization. We rely, and expect to continue to rely, on third</w:t>
        <w:noBreakHyphen/>
        <w:t>party manufacturers for the production of our product candidates for preclinical studies and clinical trials under the guidance of members of our organization. We do not have long</w:t>
        <w:noBreakHyphen/>
        <w:t>term supply agreements. Furthermore, while the raw materials for our product candidates are sourced from multiple suppliers, in some cases, the drug product is sourced from a single</w:t>
        <w:noBreakHyphen/>
        <w:t>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rely on third</w:t>
        <w:noBreakHyphen/>
        <w:t>party manufacturers for the commercial supply of any of our product candidates for which we obtain marketing approval. We may be unable to maintain or establish required agreements with third</w:t>
        <w:noBreakHyphen/>
        <w:t>party manufacturers or to do so on acceptable terms. Even if we are able to establish agreements with third</w:t>
        <w:noBreakHyphen/>
        <w:t>party manufacturers, reliance on third</w:t>
        <w:noBreakHyphen/>
        <w:t>party manufacturers entails additional risks,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w:t>
        <w:noBreakHyphen/>
        <w:t>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termination or nonrenewal of arrangements or agreements by our third</w:t>
        <w:noBreakHyphen/>
        <w:t>party contractors at a time that is costly or inconvenient for us;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breach by the third</w:t>
        <w:noBreakHyphen/>
        <w:t>party contractors of our agreements with them;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third</w:t>
        <w:noBreakHyphen/>
        <w:t>party contractors to comply with applicable regulatory requirements;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study drug or placebo not being properly identified;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w:t>
        <w:noBreakHyphen/>
        <w:t>how.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complete control over all aspects of the manufacturing process of, and are dependent on, our contract manufacturing partners for compliance with cGMP or similar foreign regulations for manufacturing both active drug substances and finished drug products. Third</w:t>
        <w:noBreakHyphen/>
        <w:t xml:space="preserve">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a comparable foreign regulatory authority,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w:t>
        <w:noBreakHyphen/>
        <w:t>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This and similar laws could have the potential to restrict the ability of biopharmaceutical companies like us to purchase services or products from, or otherwise collaborate with, certain biotechnology companies “of concern” without losing the ability to contract with, or otherwise receive funding from, the U.S. government. It is possible some of our contractual counterparties could be impacted by this or future legislation.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Supply sources could be interrupted from time to time and, if interrupted, there is no guarantee that supplies could be resumed within a reasonable time frame and at an acceptable cost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our manufacturers to purchase from third</w:t>
        <w:noBreakHyphen/>
        <w:t>party suppliers the materials necessary to produce our product candidates for our preclinical studies and intend to continue to rely on these third parties for any clinical trials that we undertake. There are a limited number of suppliers for raw materials that we use to manufacture our drugs and there may be a need to assess alternate suppliers to prevent a possible disruption of the manufacture of the materials necessary to produce our product candidates for our preclinical studies, clinical trials, and if approved, ultimately for commercial sale. We do not have any control over the process or timing of the acquisition of these raw materials by our manufacturers. Moreover, we currently do not have any agreements for the commercial production of these raw materials.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a new supplier must be used. The time and effort to qualify a new supplier could result in additional costs, diversion of resources, or reduced manufacturing yields, any of which would negatively impact our operating results.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w:t>
        <w:noBreakHyphen/>
        <w:t>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clinical investigators and CROs, to conduct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the ability to independently conduct any clinical trials. We have relied upon and plan to continue to rely upon third parties, including independent clinical investigators and third</w:t>
        <w:noBreakHyphen/>
        <w:t>party CROs, to conduct our preclinical studies and clinical trials and to monitor and manage data for our clinical and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w:t>
        <w:noBreakHyphen/>
        <w:t xml:space="preserve">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inspections of trial sponsors, principal investigators, and trial sites. If we or any of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of the United States). Our failure to comply with these regulations may require us to repeat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these investigators and CROs are not our employees and we will not be able to control, other than by contract, the amount of resources, including time, that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w:t>
        <w:noBreakHyphen/>
        <w:t xml:space="preserve">party service providers may require us to disclose our proprietary information to these parties, which could increase the risk that this information will be misappropriated.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Further, some of these agreements may also be terminated by such third parties on short notice, or under certain circumstances, including our insolvency.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limited number of third</w:t>
        <w:noBreakHyphen/>
        <w:t>party service providers that specialize or have the expertise required to achieve our business objectives. Many of the third parties with whom we contract may also have relationships with other commercial entities, including our competitors, for whom they may also be conducting clinical trials or other drug development activities that could harm our competitive position. If any of our relationships with these third</w:t>
        <w:noBreakHyphen/>
        <w:t>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depend on intellectual property licensed or acquired from third parties and we are currently party to in</w:t>
        <w:noBreakHyphen/>
        <w:t>license agreements under which we acquired rights to use, develop, manufacture and/or commercialize certain of our proprietary technologies and product candidates. If we breach our obligations under these agreements or if any of these agreements is terminated, or we otherwise experience disruptions to our business relationships with our licensors, we may be required to pay damages and/or lose our rights to such intellectual property and technology, which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patents, know</w:t>
        <w:noBreakHyphen/>
        <w:t>how, and proprietary technology, both our own and licensed from others. We are a party to intellectual property license agreements and in the future, we may enter into additional license agreements. For example, with respect to developing our product candidates, we have licensed or acquired, as the case may be, certain intellectual property from Amgen, Blackthorn, TSRI and Vanderbilt. These license and acquisition agreements impose, and we expect that future license and acquisition agreements will impose, various diligence, milestone payment, royalty and other obligations on us. If we fail to comply with our obligations under these agreements, we may be required to pay damages and the licensor may have the right to terminate the license. Any termination of these licenses could result in the loss of significant rights and could harm our ability to develop, manufacture and/or commercialize our product candidates. See the section titled “Business—Intellectual Property—In</w:t>
        <w:noBreakHyphen/>
        <w:t>Licensing and Collaboration Agreements” in our Annual Report on Form 10-K for the year ended December 31, 2025 for additional information regarding these key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agreements under which we license or acquire intellectual property or technology to or from third parties are complex, and certain provisions in such agreements may be susceptible to multiple interpretations. The resolution of any contract interpretation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or acquired prevent or impair our ability to maintain our current licensing arrangements on commercially acceptable terms, we may be unable to successfully develop and commercialize the affected product candidates. 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successfully obtain rights to required third</w:t>
        <w:noBreakHyphen/>
        <w:t>party intellectual property rights or maintain the existing intellectual property rights we have, we may have to abandon development of the relevant research programs or product candidates and our business, financial condition, results of operations and prospects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and is complicated by the rapid pace of scientific discovery in our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also arise between us and our current and future licensors regarding intellectual property subject to a license or collaboration agreement, including those relating to:</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or collaboration agreement and other interpretation</w:t>
        <w:noBreakHyphen/>
        <w:t>related issues;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license agreement;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are complying with our diligence obligations with respect to the use of the licensed technology in relation to our development and commercialization of our product candidates, and what activities satisfy those diligence obligations;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rights upon termination of the license agreements;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duration of exclusivity obligations of each party to the license agreements;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payments owed under license agreements;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allocation of ownership of inventions and know</w:t>
        <w:noBreakHyphen/>
        <w:t>how resulting from the joint creation or use of intellectual property by our licensors or collaborators and by us and our partners.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resolution of any contractual interpretation dispute that may arise, if unfavorable to us, could have a material adverse effect on our business, financial condition, results of operations and prospects.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Furthermore,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our products could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in part, on our licensors to file, prosecute, maintain, defend, and enforce certain patents and patent applications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patents and patent applications relating to our product candidates are owned or controlled by certain of our licensors. In some circumstances, we may not have the right to control the preparation, filing, prosecution, maintenance, and defense of patent applications or patents covering technology that we license from third parties. In such circumstances, our licensors generally have rights to file,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prosecute, maintain, and defend the licensed patents in their name, generally with our right to comment on such filing, prosecution, maintenance, and defense, with some obligation for the licensor to consider or incorporate our comments. We generally have the first right to enforce our exclusively licensed patent rights against third parties, although our ability to settle such claims often requires the consent of the licensor. If our licensors or any future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in the circumstances where we have the right to pursue such enforcement or defense, we cannot ensure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w:t>
        <w:noBreakHyphen/>
        <w:t>license, and as a result our ability to develop and commercialize product candidates may be adversely affected and we may be unable to prevent competitors from making, using and selling competing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Given the breadth of the application of our precision neuroscience approach, in order to increase our ability to exploit our technologies, we may enter into collaborations and/or strategic partnerships in the future, and we may not realize the anticipated benefits of such collaborations or partnerships. If we are able to enter into such transactions or realize the potential benefits of such transactions, we may be forced to alter or delay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collaborations and strategic partnerships are prevalent in the biopharmaceutical industry. The breadth of the application of our precision neuroscience approach is an attractive technology for potential collaborations and/or strategic partnerships. Our existing and any future collaborations or strategic partnerships are subject to numerous risks, which may include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 and may not commit sufficient efforts and resources, or may misapply those efforts and resources;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collaboration product candidates or may elect not to continue or renew development or commercialization programs based on clinical trial results or changes in their strategic focus;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provide insufficient resources to, or modify or stop clinical trials for collaboration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develop or acquire products outside of the collaboration that compete directly or indirectly with our products or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and personnel to pursue further development or commercialization of the applicable product candidates;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w:t>
        <w:noBreakHyphen/>
        <w:t>own intellectual property covering our products that results from our collaborating with them, and in such cases, we may not have the exclusive right to commercialize such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development and potential commercialization of our product candidates will require substantial additional capital to fund expenses. 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w:t>
        <w:noBreakHyphen/>
        <w:t xml:space="preserv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business due to changes in management and ownership and the inability to retain key employees of any acquired business. As a result, if we enter into acquisition or in</w:t>
        <w:noBreakHyphen/>
        <w:t>license agreements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face significant competition in seeking appropriate strategic partners and the negotiation process is time</w:t>
        <w:noBreakHyphen/>
        <w:t>consuming and complex.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these risks, we may not be able to realize the benefit of our existing collaboration or any future collaborations or licensing agreements we may enter into.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may also require specific components to work effectively and efficiently, and rights to those components may be held by others. We may be unable to in</w:t>
        <w:noBreakHyphen/>
        <w:t>license any compositions, methods of use, processes or other third</w:t>
        <w:noBreakHyphen/>
        <w:t>party intellectual property rights from third parties that we identify. We may fail to obtain any of these licenses at a reasonable cost or on reasonable terms, which would harm our business. In that event, we may be required to expend significant time and resources to develop or license replacement technology. Even if we are able to obtain a license, it may be non</w:t>
        <w:noBreakHyphen/>
        <w:t>exclusive, thereby giving our competitors access to the same technologies licensed to us. Any delays in entering into new collaborations or strategic partnership agreements related to our product candidates could delay the development and commercialization of our product candidates in certain geographies, which could harm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some of our owned and in</w:t>
        <w:noBreakHyphen/>
        <w:t>licensed patents or patent applications or future patents are or may be co</w:t>
        <w:noBreakHyphen/>
        <w:t>owned with third parties. If we are unable to obtain an exclusive license to any such third</w:t>
        <w:noBreakHyphen/>
        <w:t>party co</w:t>
        <w:noBreakHyphen/>
        <w:t>owners’ interest in such patents or patent applications, such co</w:t>
        <w:noBreakHyphen/>
        <w:t>owners may be able to license their rights to other third parties, including our competitors, and our competitors could market competing products and technology. In addition, we may need the cooperation of any such co</w:t>
        <w:noBreakHyphen/>
        <w:t>owners of our patents in order to enforce such patents against third parties, and such cooperation may not be provided to us. Furthermore, our owned and in</w:t>
        <w:noBreakHyphen/>
        <w:t>licensed patents may be subject to a reservation of rights by one or more third parties. Any of the foregoing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for our product pipeline which may cause us to operate our business in a more costly or otherwise adverse manner that was not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own or license from third parties certain intellectual property rights necessary to develop our product candidates. The growth of our business will likely depend in part on our ability to acquire or in</w:t>
        <w:noBreakHyphen/>
        <w:t>license additional proprietary rights, including to expand our product pipeline.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companies and academic institutions may also have filed or are planning to file patent applications potentially relevant to our business. Our product candidates may also require specific formulations or other technology to work effectively and efficiently. These formulations or technology may be covered by intellectual property rights held by others. From time to time, in order to avoid infringing these third</w:t>
        <w:noBreakHyphen/>
        <w:t>party rights, we may be required to license technology from additional third parties to further develop or commercialize our product candidates. We may be unable to acquire or in</w:t>
        <w:noBreakHyphen/>
        <w:t>license any relevant third</w:t>
        <w:noBreakHyphen/>
        <w:t xml:space="preserve">party intellectual property rights, including any such intellectual property rights required to manufacture, use or sell our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w:t>
        <w:noBreakHyphen/>
        <w:t>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w:t>
        <w:noBreakHyphen/>
        <w:t>exclusive, which may allow our competitors’ access to the same technologies licensed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w:t>
        <w:noBreakHyphen/>
        <w:t>party intellectual property or to maintain the existing intellectual property rights we have, we may have to abandon development of such program and our business and financial condition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licensing and acquisition of third</w:t>
        <w:noBreakHyphen/>
        <w:t>party intellectual property rights is a competitive practice, and companies that may be more established, or have greater resources than we do, may also be pursuing strategies to license or acquire third</w:t>
        <w:noBreakHyphen/>
        <w:t>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dependent on intellectual property licensed or sublicensed to us from, or for which development was funded or otherwise assisted by, the U.S. government and/or government agencies, such as the National Institutes of Health, for development of our technology and product candidates. Failure to meet our own obligations to our licensors or upstream licensors, including such government agencies, may result in the loss of our rights to such intellectual property,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government and/or government agencies have provided, and in the future may provide, funding, facilities, personnel or other assistance in connection with the development of the intellectual property rights owned by or licensed to us. The U.S. government and/or government agencies may have retained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the research resulting in certain of our in</w:t>
        <w:noBreakHyphen/>
        <w:t>licensed patent rights and technology was funded in part by the U.S. government. As a result, the government may have certain rights, or march</w:t>
        <w:noBreakHyphen/>
        <w:t>in rights, to such patent rights and technology. These rights may permit the government to disclose our confidential information to third parties and to exercise march</w:t>
        <w:noBreakHyphen/>
        <w:t>in rights to use or allow third parties to use our licensed technology.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and approach, or if the scope of the intellectual property protection is not sufficiently broad, our competitors could develop and commercialize products similar or identical to ours, and our ability to successfully commercialize our products may be adversely affected. 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filed patent applications, and we anticipate that in the future we will file additional patent applications both in the United States and in other countries, as appropriate. However, we cannot predict: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when any patents will issue;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others will apply for or obtain patents claiming aspects similar to those covered by our patents and patent applications;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will need to initiate litigation or administrative proceedings to defend our patent rights, which may be costly whether we win or lose; or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patent applications that we own or in</w:t>
        <w:noBreakHyphen/>
        <w:t>license will result in issued patents with claims that cover our product candidates or uses thereof in the United States or in other foreign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approach. We seek to protect our proprietary position by filing patent applications in the United States and abroad related to our novel discoveries and technologies that are important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enforcing patents is expensive and time</w:t>
        <w:noBreakHyphen/>
        <w:t>consuming, and we may not be able to file and prosecute all necessary or desirable patent applications or maintain and/or enforce patents that may issue based on our patent applications, at a reasonable cost or in a timely manner. It is also possible that we will fail to identify patentable aspects of our research and development results before it is too late to obtain patent protection. Although we enter into non</w:t>
        <w:noBreakHyphen/>
        <w:t>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enforce patent rights also depends on our ability to detect infringement. It may be difficult to detect infringers who do not advertise the components or methods that are used in connection with their products and services. Such proceedings could also provoke third parties to assert claims against us, including that some or all of the claims in one or more of our patents are invalid or otherwise unenforceable.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If we initiate lawsuits to protect or enforce our patents, or litigate against third</w:t>
        <w:noBreakHyphen/>
        <w:t>party claims, such proceedings would be expensive and would divert the attention of our management and technical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Composition of matter patents for biopharmaceutical products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w:t>
        <w:noBreakHyphen/>
        <w:t>label” for those uses that are covered by our method of use patents. Although off</w:t>
        <w:noBreakHyphen/>
        <w:t>label prescriptions may infringe or contribute to the infringement of method of use patents, the practice is common and such infringement can be difficult to prevent or prosecute.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strength of patents in the biotechnology, biopharmaceutical and data science fields can be uncertain, and evaluating the scope of such patents involves complex legal, factual and scientific analyses and has in recent years been the subject of much litigation, resulting in court decisions, including Supreme Court decisions, which have increased uncertainties as to the ability to enforce patent rights in the future. The patent applications that we own or in</w:t>
        <w:noBreakHyphen/>
        <w:t>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In the event of litigation or administrative proceedings, we cannot be certain that the claims in any of our issued patents will be considered valid by courts in the United States or foreign countries.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with respect to our product candidates is threatened, this could dissuade companies from collaborating with us to develop, and could threaten our ability to commercialize, our product candidates. In addition, the laws of foreign countries may not protect our rights to the same extent as the laws of the United States, or vice versa. Further, if we encounter delays in our clinical trials, the period of time during which we could market our product candidates under patent protection would be reduced.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identify relevant third</w:t>
        <w:noBreakHyphen/>
        <w:t>party patents or may incorrectly interpret the relevance, scope or expiration of a third</w:t>
        <w:noBreakHyphen/>
        <w:t>party patent, which might adversely affect our ability to develop and market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w:t>
        <w:noBreakHyphen/>
        <w:t>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w:t>
        <w:noBreakHyphen/>
        <w:t>party patent or may incorrectly predict whether a third party’s pending application will issue with claims of relevant scope. Our failure to identify and correctly interpret relevant patents may negatively impact our ability to develop and market our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w:t>
        <w:noBreakHyphen/>
        <w:t>party intellectual property rights potentially relating to our product candidates or their intended uses, and as a result the impact of such third</w:t>
        <w:noBreakHyphen/>
        <w:t>party intellectual property rights upon the patentability of our own patents and patent applications, as well as the impact of such third</w:t>
        <w:noBreakHyphen/>
        <w:t>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w:t>
      </w:r>
    </w:p>
    <w:p>
      <w:pPr>
        <w:pStyle w:val="TextBody"/>
        <w:bidi w:val="0"/>
        <w:spacing w:before="240" w:after="283"/>
        <w:jc w:val="both"/>
        <w:rPr>
          <w:rFonts w:ascii="Times New Roman" w:hAnsi="Times New Roman"/>
          <w:sz w:val="20"/>
        </w:rPr>
      </w:pPr>
      <w:r>
        <w:rPr>
          <w:rFonts w:ascii="Times New Roman" w:hAnsi="Times New Roman"/>
          <w:color w:val="000000"/>
          <w:sz w:val="20"/>
        </w:rPr>
        <w:t>Our patents or pending patent applications may be challenged in the courts or patent offices in the United States and abroad. For example, we may be subject to a third</w:t>
        <w:noBreakHyphen/>
        <w:t>party pre</w:t>
        <w:noBreakHyphen/>
        <w:t>issuance submission of prior art to the USPTO or become involved in post</w:t>
        <w:noBreakHyphen/>
        <w:t xml:space="preserve">grant review procedures, oppositions, derivations, reexaminations, or </w:t>
      </w:r>
      <w:r>
        <w:rPr>
          <w:rFonts w:ascii="Times New Roman" w:hAnsi="Times New Roman"/>
          <w:i/>
          <w:color w:val="000000"/>
          <w:sz w:val="20"/>
        </w:rPr>
        <w:t xml:space="preserve">inter partes </w:t>
      </w:r>
      <w:r>
        <w:rPr>
          <w:rFonts w:ascii="Times New Roman" w:hAnsi="Times New Roman"/>
          <w:color w:val="000000"/>
          <w:sz w:val="20"/>
        </w:rPr>
        <w:t>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failure to obtain or maintain patent protection with respect to our product candidates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product candidates that are similar to ours but that are not covered by the claims of the patents that we own or have exclusively licensed;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future collaborators might not have been the first to file patent applications covering certain of our inventions;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have exclusively licensed may be held invalid or unenforceable, as a result of legal challenges by our competitors;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scope of protection of any patent issuing based on our patent applications, including whether the patent applications that we own or in</w:t>
        <w:noBreakHyphen/>
        <w:t>license will result in issued patents with claims that cover our product candidates or uses thereof in the United States or in other foreign countries;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claims of any patent issuing based on our patent applications may not provide protection against competitors or any competitive advantages, or may be challenged by third parties;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enforced, a court may not hold that our patents are valid, enforceable and infringed;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initiate litigation or administrative proceedings to enforce and/or defend our patent rights which will be costly whether we win or lose;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w:t>
        <w:noBreakHyphen/>
        <w:t>how, and a third party may subsequently file a patent covering such intellectual property;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trade secrets and other proprietary information. 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w:t>
        <w:noBreakHyphen/>
        <w:t>how that is not patentable or that we elect not to patent, processes for which patents are difficult to enforce, and any other elements of our product candidates, technology and product discovery and development processes that involve proprietary know</w:t>
        <w:noBreakHyphen/>
        <w:t>how, information, or technology that is not covered by patents. Any disclosure, either intentional or unintentional, by our employees, the employees of third parties with whom we share our facilities or third</w:t>
        <w:noBreakHyphen/>
        <w:t>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secrets and confidential information, however, may be difficult to protect. We seek to protect our trade secrets, know</w:t>
        <w:noBreakHyphen/>
        <w:t>how and confidential information, including our proprietary processes, in part, by entering into confidentiality agreements with our employees, consultants, outside scientific advisors, contractors, and collaborators. We require our employees to enter into written employment agreements containing provisions of confidentiality and obligations to assign to us any inventions generated in the course of their employment.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w:t>
        <w:noBreakHyphen/>
        <w:t>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results of operations,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w:t>
        <w:noBreakHyphen/>
        <w:t>party claims of intellectual property infringement against us or our collaborators may prevent or delay our product discovery and development efforts.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on our avoiding infringement of the patents and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review, post</w:t>
        <w:noBreakHyphen/>
        <w:t>grant review and reexamination proceedings before the USPTO or oppositions and other comparable proceedings in foreign jurisdictions. Furthermore, patent reform and changes to patent laws add uncertainty to the possibility of challenge to our patents in the future. We cannot assure you that our product candidates and other proprietary technologies we may develop will not infringe existing or future patents owned by third parties.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Numerous U.S. and foreign issued patents and pending patent applications owned by third parties exist in the fields in which we are developing our product candidates. We cannot provide any assurances that third</w:t>
        <w:noBreakHyphen/>
        <w:t>party patents do not exist which might be enforced against our current product candidates or future products, resulting in either an injunction prohibiting our sales, or, with respect to our sales, an obligation on our part to pay royalties and/or other forms of compensation to third parties. As the biotechnology and biopharmaceutical industries expand and more patents are issued, the risk increases that our product candidates may give rise to claims of infringement of the patent rights of others. Third parties may assert that we infringe their patents or other intellectual property, or that we are otherwise employing their proprietary technology without authorization, and may sue us. There may be third</w:t>
        <w:noBreakHyphen/>
        <w:t>party patents of which we are currently unaware with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Because patent applications can take many years to issue, there may be currently pending patent applications that may later result in issued patents that our product candidates may infringe. In addition, third parties, our competitors in both the United States and abroad, many of which have substantially greater resources and have made substantial investments in patent portfolios and competing technologies, may obtain patents in the future that may prevent, limit or otherwise interfere with our ability to make, use and sell our product candidates, and may claim that use of our technologies or the manufacture, use, or sale of our product candidates infringes upon these patents. If any such third</w:t>
        <w:noBreakHyphen/>
        <w:t>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or commercialize the applicable product candidate unless we obtain a license under the applicable patents or other intellectual property, or until such patents expire or are finally determined to be held invalid or unenforceable. Such a license may not be available on commercially reasonable terms or at all. Even if we were able to obtain a license, it could be non</w:t>
        <w:noBreakHyphen/>
        <w:t>exclusive, thereby giving our competitors access to the same technologies licensed to us. If we are unable to obtain a necessary license to a third</w:t>
        <w:noBreakHyphen/>
        <w:t>party patent on commercially reasonable terms, our ability to commercialize our product candidates may be impaired or delayed, which could in turn significantly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w:t>
        <w:noBreakHyphen/>
        <w: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are of national or regional effect, and filing, prosecuting, maintaining and defending patents on product candidates in all countries throughout the world would be prohibitively expensive, and our intellectual property rights in some countries outside the United States can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products and our patents or other intellectual property rights may not be effective or adequate to prevent them from competing.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geo</w:t>
        <w:noBreakHyphen/>
        <w:t>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the ongoing conflicts in the Middle East, and other matters may limit or prevent filing, prosecution, and maintenance of patent applications in Russia, Israel and other countries. Government actions may also prevent maintenance of issued patents in Russia. These actions could result in abandonment or lapse of our patents or patent applications, resulting in partial or complete loss of patent rights in Russia, Israel and other countries.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Finally, Europe’s Unified Patent Court (“UPC”) may, in particular, present uncertainties for our ability to protect and enforce our patent rights against competitors in Europe. In 2012, the European Patent Package (“EU Patent Package”) regulations were passed with the goal of providing a single pan</w:t>
        <w:noBreakHyphen/>
        <w:t>European Unitary Patent system and UPC for litigation involving European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Unitary Patent system and UPC launched on June 1, 2023. Under the UPC, all European patents, including those issued prior to ratification of the EU Patent Package, now by default automatically fall under the jurisdiction of the UPC. The UPC provides our competitors with a new forum to centrally revoke our European patents, and allows for the possibility of a competitor to obtain pan</w:t>
        <w:noBreakHyphen/>
        <w:t xml:space="preserve">European injunctions. Such a loss of patent protection could have a material adverse impact on our ability to commercialize our technology and product candidates and on our business, financial condition, prospects and results of operations. It will be several years before we will understand the scope of patent rights that will be recognized and the strength of patent remedies that will be provided by the UPC. Under the current EU Patent Package, we have the right to opt our patents out of the UPC over the first seven years of the court’s existence, but doing so may preclude us from realizing the benefits of the new unified court. Moreover, if we do not meet all of the formalities and requirements for opt-out under the UPC, our future European patents could remain under the jurisdiction of the UPC.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patents, any patents that may be issued as a result of our pending or future patent applications or other intellectual property rights, the risk</w:t>
        <w:noBreakHyphen/>
        <w:t>adjusted cost of bringing and enforcing such a claim or action, which typically last for years before they are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monetary cost of such litigation and the diversion of the attention of our management and scientific personnel could outweigh any benefit we receive as a result of the proceedings and that the more prudent course of action is to simply monitor the situation or initiate or seek some other non</w:t>
        <w:noBreakHyphen/>
        <w:t>litigious action or solution. In addition, the uncertainties associated with litigation could compromise our ability to raise the funds necessary to continue our clinical trials, continue our internal research programs, in</w:t>
        <w:noBreakHyphen/>
        <w:t>license needed technology or other product candidates, or enter into development partnerships that would help us bring our product candidates to market.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other intellectual property or the intellectual property of our licensors, which could be expensive, time</w:t>
        <w:noBreakHyphen/>
        <w:t>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infringe our patents or other intellectual property or the intellectual property of our licensors. To cease such infringement or unauthorized use, we may be required to file patent infringement claims, which can be expensive and time</w:t>
        <w:noBreakHyphen/>
        <w:t>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the USPTO or comparable foreign authority.</w:t>
      </w:r>
    </w:p>
    <w:p>
      <w:pPr>
        <w:pStyle w:val="TextBody"/>
        <w:bidi w:val="0"/>
        <w:spacing w:before="120" w:after="283"/>
        <w:jc w:val="both"/>
        <w:rPr>
          <w:rFonts w:ascii="Times New Roman" w:hAnsi="Times New Roman"/>
          <w:sz w:val="20"/>
        </w:rPr>
      </w:pPr>
      <w:r>
        <w:rPr>
          <w:rFonts w:ascii="Times New Roman" w:hAnsi="Times New Roman"/>
          <w:color w:val="000000"/>
          <w:sz w:val="20"/>
        </w:rPr>
        <w:t>If we or one of our licensing partners initiate legal proceedings against a third party to enforce a patent covering one of our product candidates, the defendant could counterclaim we infringe their patents or that the patent covering our product candidate is invalid or unenforceable, or both. In patent litigation in the United States, defendant counterclaims alleging invalidity or unenforceability are commonplace, and there are numerous grounds upon which a third party can assert invalidity or unenforceability of a patent, including lack of novelty, obviousness, non</w:t>
        <w:noBreakHyphen/>
        <w:t>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noBreakHyphen/>
        <w:t xml:space="preserve">examination, </w:t>
      </w:r>
      <w:r>
        <w:rPr>
          <w:rFonts w:ascii="Times New Roman" w:hAnsi="Times New Roman"/>
          <w:i/>
          <w:color w:val="000000"/>
          <w:sz w:val="20"/>
        </w:rPr>
        <w:t xml:space="preserve">inter partes </w:t>
      </w:r>
      <w:r>
        <w:rPr>
          <w:rFonts w:ascii="Times New Roman" w:hAnsi="Times New Roman"/>
          <w:color w:val="000000"/>
          <w:sz w:val="20"/>
        </w:rPr>
        <w:t>review, post</w:t>
        <w:noBreakHyphen/>
        <w: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 271I(1).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and such an outcome may limit our ability to assert our patents against those parties or other competitors and may curtail or preclude our ability to exclude third parties from making and selling similar or competitive products. Such a loss of patent protection could have a material adverse impact on our business.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products.</w:t>
      </w:r>
    </w:p>
    <w:p>
      <w:pPr>
        <w:pStyle w:val="TextBody"/>
        <w:bidi w:val="0"/>
        <w:spacing w:before="120" w:after="283"/>
        <w:jc w:val="both"/>
        <w:rPr>
          <w:rFonts w:ascii="Times New Roman" w:hAnsi="Times New Roman"/>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w:t>
        <w:noBreakHyphen/>
        <w:t>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Patent reform legislation in the United States and other countries, including the Leahy</w:t>
        <w:noBreakHyphen/>
        <w:t>Smith America Invents Act (“Leahy</w:t>
        <w:noBreakHyphen/>
        <w:t>Smith Act”) signed into law on September 16, 2011, could increase those uncertainties and costs surrounding the prosecution of our patent applications and the enforcement or defense of our issued patents. The Leahy</w:t>
        <w:noBreakHyphen/>
        <w:t>Smith Act includes provisions that affect the way patent applications are prosecuted, redefine prior art and provide more efficient and cost</w:t>
        <w:noBreakHyphen/>
        <w:t>effective avenues for competitors to challenge the validity of patents. These include allowing third</w:t>
        <w:noBreakHyphen/>
        <w:t>party submission of prior art to the USPTO during patent prosecution and additional procedures to attack the validity of a patent by USPTO administered post</w:t>
        <w:noBreakHyphen/>
        <w:t>grant proceedings, including post</w:t>
        <w:noBreakHyphen/>
        <w:t xml:space="preserve">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After March 2013, under the Leahy</w:t>
        <w:noBreakHyphen/>
        <w:t>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of the time from invention to filing of a patent application. Because patent applications in the United States and most other countries are confidential for a period of time after filing or until issuance, we cannot be certain that we or our licensors were the first to either (1) file any patent application related to our product candidates and other proprietary technologies we may develop or (2)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w:t>
        <w:noBreakHyphen/>
        <w:t>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w:t>
        <w:noBreakHyphen/>
        <w:t>making bodies in other countries, the laws and regulations governing patents could change in unpredictable ways that would weaken our ability to obtain new patents or to enforce our existing patents and patents that we might obtain in the future. We cannot predict how future decisions by Congress, the federal courts or the USPTO may impact the value of our patents.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w:t>
        <w:noBreakHyphen/>
        <w:t>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on us or our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w:t>
        <w:noBreakHyphen/>
        <w:t>payment of fees, and failure to properly legalize and submit formal documents. In any such event, our competitors might be able to enter the market, which would have a material adverse effect on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lives of our patents may not be sufficient to effectively protect our products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paid timely, the natural expiration of a patent is generally 20 years after its first effective filing date. Although various extensions may be available, the life of a patent, and the protection it affords, is limited.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medications.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 As a result, our patent portfolio may not provide us with sufficient rights to exclude others from commercializing product candidates similar or identical to ours. In addition, although upon issuance in the United States a patent’s life can be increased based on certain delays caused by the USPTO,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If we do not have sufficient patent life to protect our products, our business and results of operations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patents or other intellectual property as an inventor or co</w:t>
        <w:noBreakHyphen/>
        <w:t>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w:t>
        <w:noBreakHyphen/>
        <w:t>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licensors may have relied on third</w:t>
        <w:noBreakHyphen/>
        <w:t>party consultants or collaborators or on funds from third parties, such as the U.S. government, such that we or our licensors are not the sole and exclusive owners of the patents we in</w:t>
        <w:noBreakHyphen/>
        <w:t>licensed. If other third parties have ownership rights or other rights to our patents, including in</w:t>
        <w:noBreakHyphen/>
        <w:t>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noBreakHyphen/>
        <w:t>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stock price has experienced volatility and declines and may continue to be volatile or decline, regardless of our operating performance, resulting in substantial losses for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and may continue to be highly volatile and may further decline substantially as a result of a variety of factors, some of which are related in complex ways. The market price of our common stock may fluctuate significantly in response to numerous factors, many of which are beyond our control, including the factors listed below and other factors described in this “Risk Factors” section of this Quarterly Report on Form 10-Q:</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of, enrollment in, or results of current and future preclinical studies and clinical trials we may conduct, or changes in the development status of our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in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including, but not limited to, preclinical study or clinical trial requirements for approvals;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clinical outcomes or other adverse events related to product candidates being developed by others in the central nervous system (“CNS”) field;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 of research reports about us or our industry, or CNS programs in particular, or positive or negative recommendations or withdrawal of research coverage by securities analysts;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changes to our relationship with manufacturers or suppliers;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supply or distribution shortages;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commercialize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conditions, including but not limited to, disruptions in U.S. government operations and funding, geopolitical conflicts such as the war between Russia and the Ukraine, and the ongoing conflicts in the Middle East, and any sanctions or other repercussions that may result therefrom;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including but not limited to, inflation, tariffs, trade controls, recession risk, low consumer confidence and interest rates;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results of operations;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made by us or our competitors of new product and service offerings, acquisitions, strategic relationships, joint ventures, or capital commitments;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press reports, whether or not true, about our business;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or perceived potential sales of our common stock by us or our stockholders in the future;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fluctuations in the equity markets;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or developments in the global regulatory environment;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involving us, our industry or both, or investigations by regulators into our operations or those of our competitors;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impact from pandemics or other public health events, on us or third parties with which we engage;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maintain the listing of our common stock on the Nasdaq Global Select Market or another reputable stock exchange, the trading price and/or trading volume of our common stock may decline and</w:t>
      </w:r>
      <w:r>
        <w:rPr>
          <w:rFonts w:ascii="Times New Roman" w:hAnsi="Times New Roman"/>
          <w:color w:val="000000"/>
          <w:sz w:val="20"/>
        </w:rPr>
        <w:t xml:space="preserve"> </w:t>
      </w:r>
      <w:r>
        <w:rPr>
          <w:rFonts w:ascii="Times New Roman" w:hAnsi="Times New Roman"/>
          <w:b/>
          <w:i/>
          <w:color w:val="000000"/>
          <w:sz w:val="20"/>
        </w:rPr>
        <w:t>it may be more difficult for our stockholders to sell their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currently listed for trading on the Nasdaq Global Select Market (“Nasdaq”). One of the requirements for continued listing on the Nasdaq Global Select Market pursuant to Nasdaq Listing Rule 5450(a)(1) is maintenance of a minimum closing bid price of $1.00 per share, and failure to comply with the $1.00 minimum bid price requirement could lead to the delisting of our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common stock is delisted from trading on Nasdaq and we are unable to obtain listing on another reputable national securities exchange, a reduction in some or all of the following may occur, each of which could cause the trading price and/or trading volume of our common stock to decline and make it more difficult for our stockholders to sell their shares: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liquidity of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financing for the continuation of our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institutional and general investors that will consider investing in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market makers in our common stock;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information concerning the trading prices and volume of our common stock;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broker-dealers willing to execute trades in shares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receiving written notice from Nasdaq on May 14, 2025 that we were not in compliance with Nasdaq’s $1.00 minimum bid price requirement, on July 23, 2025, following a period of 10 consecutive trading days during which we met the $1.00 minimum bid price requirement, Nasdaq notified us that we regained compliance for continued listing on the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regained compliance with the minimum bid price requirement, there is no assurance that we will continue to maintain compliance with such requirement or other rules for continued listing on Nasdaq.</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operating results to be subject to quarterly fluctuations, which will make it difficult for us to predict our future results. Our net loss and other operating results will be affected by numerous factors, including: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timing and variations in the level of expense related to the current or future development of our programs, including but not limited to, the timing of the milestone payments;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patients in clinical trials and timing and status of enrollment for our clinical trials;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trials, or the addition or termination of, or changes to clinical trials or funding support by us or potential future partners;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products that compete with our product candidates, and changes in the competitive landscape of our industry, including consolidation among our competitors or partners;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delays in regulatory review or approval of our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w:t>
        <w:noBreakHyphen/>
        <w:t>based compensation estimates;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political conditions, including but not limited to, disruptions in U.S. government operations and funding, geopolitical conflicts such as the war between Russia and the Ukraine, and the ongoing conflicts in the Middle East, and any sanctions or other repercussions that may result therefrom;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conditions, including but not limited to, inflation, tariffs, trade controls, recession risk, low consumer confidence and interest rates;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strategic decisions by us or our competitors, such as acquisitions, divestitures, spin</w:t>
        <w:noBreakHyphen/>
        <w:t>offs, joint ventures, strategic investments or changes in business strategy;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product candidate we may develop receive regulatory approval, the timing and terms of such approval and market acceptance and demand for such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products that compete with any of our product candidates;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our product candidates, if approved, inside and outside of the United States, either independently or working with third parties;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affecting current or future product candidates or those of our competitors;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impact from pandemics or other public health events, on us or third parties with which we engage.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our executive officers, directors, holders of 5% or more of our capital stock and their respective affiliates owned approximately 47% of our outstanding voting stock. Therefore,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In addition, certain members of our board of directors were originally designated by our principal stockholders, including Amgen and ARCH Venture Partners. This may prevent or discourage unsolicited acquisition proposals or offers for our common stock that you may feel are in your best interest as one of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common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existing stockholders sell, or indicate an intention to sell, or if the market perceives that such existing stockholders might sell, substantial amounts of our common stock in the public market, the market price of our common stock could decline. As of March 31, 2026, we had outstanding a total of 182,157,466 shares of common stock and approximately 46% of such shares were beneficially owned by our directors, officers, and holders of 5% or more of our common stock. In addition, approximately 57,959,609 shares of common stock that are either subject to outstanding options or reserved for future issuance under our employee benefit plans will become eligible for sale in the public market to the extent permitted by the provisions of various vesting schedules and Rule 144 and Rule 701 under the Securities Act. If these additional shares of common stock are sold, or there is a perception that they will be sold, in the public market, the trading price of our common stock could decline. 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in the future, we may issue additional shares of common stock, or other equity or debt securities convertible into common stock, in connection with a financing, acquisition, employee arrangement, or otherwise. For example, </w:t>
      </w:r>
      <w:r>
        <w:rPr>
          <w:rFonts w:ascii="Times New Roman" w:hAnsi="Times New Roman"/>
          <w:color w:val="231F20"/>
          <w:sz w:val="20"/>
        </w:rPr>
        <w:t xml:space="preserve">in October 2024 we entered into a sales agreement with Leerink to sell shares of our common stock, from time to time, with aggregate gross sales proceeds of up to $300.0 million, through an ATM program with Leerink as the sales agent. During the three months ended March 31, 2026, we received aggregate net proceeds of $10.9 million through sales of shares of our common stock under the ATM after deducting commissions and offering expenses. Additionally, during the years ended December 31, 2025 and 2024, we received aggregate net proceeds of $19.7 million and $13.7 million, respectively, through sales of shares of our common stock under the ATM after deducting commissions and offering expenses. </w:t>
      </w:r>
      <w:r>
        <w:rPr>
          <w:rFonts w:ascii="Times New Roman" w:hAnsi="Times New Roman"/>
          <w:color w:val="000000"/>
          <w:sz w:val="20"/>
        </w:rPr>
        <w:t>In December 2023, we settled a Phase 3 navacaprant milestone owed to BlackThorn stockholders by primarily issuing shares of our common stock. Any such issuance could result in substantial dilution to our existing stockholders and could cause the price of our common stock to decline.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staggered board of directors divided into three classes serving staggered three</w:t>
        <w:noBreakHyphen/>
        <w:t>year terms, such that not all members of the board of directors will be elected at one time;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new series of preferred stock without stockholder approval and create, subject to applicable law, a series of preferred stock with preferential rights to dividends or our assets upon liquidation, or with superior voting rights to our existing common stock;</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amended and restated bylaws;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stockholders can remove directors only for cause and only upon the approval of not less than 66</w:t>
        <w:noBreakHyphen/>
        <w:t>2/3% of all outstanding shares of our voting stock;</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not less than 66</w:t>
        <w:noBreakHyphen/>
        <w:t>2/3% of all outstanding shares of our voting stock to amend our amended and restated bylaws and specific provisions of our certificate of incorporation;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the forums in which certain stockholder litigation may be brought.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Delaware corporation, we are subject to the anti</w:t>
        <w:noBreakHyphen/>
        <w:t>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w:t>
        <w:noBreakHyphen/>
        <w:t>thirds of the outstanding disinterested shares. The application of Section 203 of the Delaware General Corporation Law could also have the effect of delaying or preventing a change of control of our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an exclusive forum in the Court of Chancery of the State of Delaware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officer or other employee to us or our stockholders, (3) any action asserting a claim against us or any director, officer, or other employee arising pursuant to the Delaware General Corporation Law, (4) any action to interpret, apply, enforce, or determine the validity of our second amended and restated certificate of incorporation or amended and restated bylaws or (5) any other action asserting a claim that is governed by the internal affairs doctrine, is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does apply to claims brought to enforce a duty or liability created by the Exchange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if a corporation undergoes an “ownership change,” generally defined as a greater than 50 percentage point change (by value) in its equity ownership by certain stockholders over a three</w:t>
        <w:noBreakHyphen/>
        <w:t>year period, the corporation’s ability to use its pre</w:t>
        <w:noBreakHyphen/>
        <w:t>change net operating loss carryforwards (“NOLs”) and other pre</w:t>
        <w:noBreakHyphen/>
        <w:t>change tax attributes (such as research and development tax credits) to offset its post</w:t>
        <w:noBreakHyphen/>
        <w:t>change income or taxes may be limited. We may have experienced ownership changes in the past and may experience additional ownership changes in the future as a result of subsequent shifts in our stock ownership (some of which are outside our control). As a result, our ability to use our pre</w:t>
        <w:noBreakHyphen/>
        <w:t>change NOLs and other pre-change tax attributes to offset future taxable income, if any, could be subject to limitations. Similar provisions of state tax law may also apply. As a result, even if we attain profitability, we may be unable to use a material portion of our NOLs and other tax attributes.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is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covering us were to cease coverage of us or fail to regularly publish reports on us, we could lose visibility in the financial markets, which in turn could cause the trading price or trading volume of our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stock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credit and financial markets have experienced extreme volatility and disruptions due to a number of factors including concerns about declines in consumer confidence, declines in economic growth, inflation, tariffs, trade controls, borrowing rates and changes in liquidity and credit availability, and uncertainty about economic stability, including in connection with actions undertaken by the U.S. Federal Reserve Board to address inflation, the failure of banks, the war in Ukraine, the ongoing conflicts in the Middle East and supply chain disruptions. There can be no assurance that future deterioration in global credit and financial markets and confidence in economic conditions will not occur. Our general business strategy may be adversely affected by any such economic downturn, volatile business environment or unpredictable and unstable market conditions. If the current equity and credit markets deteriorate, it may make any necessary debt or equity financing more difficult, more costly and more dilutive, if at all possible.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develop or be sustained.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our initial public offering in September 2023, there was no public market for shares of our common stock.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which allows us to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as amended (“Sarbanes-Oxley”), reduced disclosure obligations regarding executive compensation in our Annual Report and our periodic reports and proxy statements and providing only two years of audited financial statements in our Annual Report and our periodic reports. We will remain a smaller reporting company so long as (a) the aggregate market value of our outstanding common stock held by non-affiliates as of the last business day our most recently completed second fiscal quarter is less than $250 million or (b) (1) we have less than $100 million in annual revenues during our most recently completed fiscal year and (2) the aggregate market value of our outstanding common stock held by non-affiliates as of the last business day our most recently completed second fiscal quarter is less than $700 million.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 and may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requirements of being a public company may strain our resources, result in more litigation, and divert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w:t>
        <w:noBreakHyphen/>
        <w:t>Oxley Act, the Dodd</w:t>
        <w:noBreakHyphen/>
        <w:t>Frank Wall Street Reform and Consumer Protection Act (“Dodd</w:t>
        <w:noBreakHyphen/>
        <w:t>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w:t>
        <w:noBreakHyphen/>
        <w:t>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w:t>
        <w:noBreakHyphen/>
        <w:t>generating activities to compliance activities. If our efforts to comply with new laws, regulations, and standards differ from the activities intended by regulatory or governing bodies, regulatory authorities may initiate legal proceedings against us and our business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disclosing information in filings required by us as a public company, our business and financial condition will continue to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w:t>
        <w:noBreakHyphen/>
        <w:t>insured. We rely on third</w:t>
        <w:noBreakHyphen/>
        <w:t>party manufacturers to produce our product candidates. Our ability to obtain clinical supplies of our product candidates could be disrupted if the operations of these suppliers were affected by a man</w:t>
        <w:noBreakHyphen/>
        <w:t xml:space="preserve">made or natural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disaster or other business interruption. The occurrence of any of these business disruptions could seriously harm our operations and financial condition and increase our costs and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 404(a) of the Sarbanes</w:t>
        <w:noBreakHyphen/>
        <w:t>Oxley Act, our management is required to report upon the effectiveness of our internal control over financial reporting. In the event we regain “accelerated filer” or “large accelerated filer” status, we will be required to have an independent registered public accounting firm attest to the effectiveness of our internal control over financial reporting. The rules governing the standards that must be met for management to assess our internal control over financial reporting are complex, judgmental and require significant documentation, testing and possible remediation.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we and/or our independent registered public accounting firm determines we have a material weakness or significant deficiency in our internal control over financial reporting, investors may lose confidence in the accuracy and completeness of our consolidated financial statements,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w:t>
        <w:noBreakHyphen/>
        <w:t>conceived and operated, can provide only reasonable, not absolute, assurance that the objectives of the control system are met. These inherent limitations include the realities that judgments in decision</w:t>
        <w:noBreakHyphen/>
        <w:t>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but are not limited to stock</w:t>
        <w:noBreakHyphen/>
        <w:t>based compensation and evaluation of acquisitions of assets and other similar transactions as well as clinical trial accruals.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audited consolidated financial statements, unaudited consolidated financial statements and related notes. Such changes to existing standards or changes in their interpretation may also have an adverse effect on our reputation,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information technology systems, or those used by our third</w:t>
        <w:noBreakHyphen/>
        <w:t>party research institution collaborators, CROs, CMOs, or other contractors or consultants, may fail or suffer cyberattacks or security breaches.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clinical trial data, and personal information of our employees and contractors). It is critical that we do so in a secure manner to maintain the confidentiality and integrity of such confidential information. We also have outsourced elements of our operations to third parties, and as a result we manage a number of third</w:t>
        <w:noBreakHyphen/>
        <w:t>party contractors who have access to our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numerous and evolving cybersecurity risks that threaten the confidentiality, integrity and availability of our information technology systems and confidential information. Despite the implementation of security measures, our information technology systems and those of our CROs, CMOs, and other contractors and consultants are vulnerable to attack, damage, or interruption from diverse threat vectors, including hacking, cyberattacks, “phishing” attacks and other social engineering schemes, computer viruses and malware (e.g., ransomware), misconfigurations, “bugs” or other vulnerabilities, malicious code, denial or degradation of service attacks, sophisticated nation</w:t>
        <w:noBreakHyphen/>
        <w:t>state and nation</w:t>
        <w:noBreakHyphen/>
        <w:t>state supported actors, unauthorized access or use by persons within our organization, natural disasters, terrorism, war and telecommunication and electrical failures, employee theft or misuse, human error, and fraud. Attacks upon information technology systems are increasing in their frequency, levels of persistence, sophistication and intensity, and are being conducted by sophisticated and organized groups and individuals with a wide range of motives and expertise. As a result of the continued hybrid working environment, we also face increased cybersecurity risks due to our reliance on internet technology and the number of our employees who are working remotely, which may create additional opportunities for cybercriminals to exploit vulnerabilities. Further, any integration of artificial intelligence in our or any third party’s operations, products or services is expected to pose new or unknown cybersecurity risks and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security incidents, including social engineering and phishing attacks.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Although to our knowledge we have not experienced any such material system failure, accident, or security breach to date, if such an event were to occur and negatively affect,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Further, we cannot ensure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There can be no assurance that our cybersecurity risk management program and processes, including our policies, controls or procedures, will be fully implemented, complied with or effective in protecting our information technology systems and confidential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Likewise, we rely on our third</w:t>
        <w:noBreakHyphen/>
        <w:t>party research institution collaborators for research and development of our product candidates and other third parties for the manufacture of our product candidates and to conduct clinical trials, and similar events relating to their information technology systems could also have a material adverse effect on our business. To the extent that any disruption or security incident were to result in an actual or perceived loss of, or damage to, our data or applications, or inappropriate disclosure of confidential or proprietary information or patient information, we could incur liability and the further development and commercialization of our product candidates could be delayed.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Further, our insurance coverage may not be sufficient to cover the financial, legal, business or reputational losses that may result from an interruption or breach of our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entered and expect to enter into collaboration, license, contract research and/or manufacturing relationships with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around the world, including outside of such countries, to the extent such theft or intrusion destroy the proprietary nature of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security measures are breached or unauthorized access to our other data is otherwise obtained, our data may be perceived as not being secure and we may incur significant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a set of proprietary tools to generate, analyze, and derive novel insights from our confidential information and other data. As a result, unauthorized access to or security breaches of our data, as a result of third</w:t>
        <w:noBreakHyphen/>
        <w:t>party action, employee or contractor error, malfeasance, or otherwise could require us to make filings with the SEC and provide notification to individuals, governmental authorities, supervisory bodies, the media and other parties pursuant to privacy and security laws and result in the loss or corruption of, or other damage to information, claims and litigation, indemnity obligations, damage to our reputation, and other liability. Our collaborators and other third parties we work with may also suffer similar security breaches of data that we rely on. In addition, if our employees or contractors fail to adhere to practices we have established to maintain a firewall between our internal drug discovery team and our teams that work with external individuals, including our collaborators, or if the technical solutions we have adopted to maintain the firewall 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Federal, state and foreign laws and regulations may also expose us to enforcement actions and investigations by regulatory authorities, and potentially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these issues could result in reputational damage or subject us to third</w:t>
        <w:noBreakHyphen/>
        <w:t>party lawsuits or other action or liability, which could adversely affect our operating results and the further development and commercialization of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biopharmaceutical companies. Although we try to ensure that individuals working for or collaborating with us do not use the proprietary information or know</w:t>
        <w:noBreakHyphen/>
        <w:t>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w:t>
        <w:noBreakHyphen/>
        <w:t>competition or non</w:t>
        <w:noBreakHyphen/>
        <w:t>solicitation agreement. We may be subject to claims that patents and applications we have filed to protect inventions of our employees, consultants, advisors or other third parties, including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currently subject to and may be subject to additional future securities class action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class action litigation has often been instituted against companies following periods of volatility in the market price of a company’s securities. For example, on February 6, 2025, a purported stockholder of the Company filed a lawsuit against us, certain of our executive officers, and certain underwriters in the United States District Court for the Southern District of New York alleging violations of the Securities Act related to our initial public offering. See the section titled “Legal Proceedings” in this Quarterly Report on Form 10-Q for additional information regarding this matter. This litigation could result in substantial costs and a diversion of management’s attention and resources, which would harm our business, results of operations,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unregistered_sales_of_equity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ind w:left="360" w:right="0" w:hanging="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ind w:left="360" w:right="0" w:hanging="0"/>
        <w:jc w:val="both"/>
        <w:rPr>
          <w:rFonts w:ascii="Times New Roman" w:hAnsi="Times New Roman"/>
          <w:color w:val="000000"/>
          <w:sz w:val="20"/>
        </w:rPr>
      </w:pPr>
      <w:r>
        <w:rPr>
          <w:rFonts w:ascii="Times New Roman" w:hAnsi="Times New Roman"/>
          <w:color w:val="000000"/>
          <w:sz w:val="20"/>
        </w:rPr>
        <w:t>On September 19, 2023, our registration statement on Form S-1 (File No. 333- 274229) relating to our IPO of common stock became effective. There has been no material change in the planned use of proceeds from the IPO from that described in the prospectus filed with the SEC pursuant to Rule 424(b)(4) under the Securities Act on September 18,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ind w:left="360" w:right="0" w:hanging="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b/>
          <w:color w:val="000000"/>
          <w:sz w:val="20"/>
        </w:rPr>
      </w:pPr>
      <w:bookmarkStart w:id="18" w:name="item_9b_other_information"/>
      <w:bookmarkEnd w:id="18"/>
      <w:r>
        <w:rPr>
          <w:rFonts w:ascii="Times New Roman" w:hAnsi="Times New Roman"/>
          <w:b/>
          <w:color w:val="000000"/>
          <w:sz w:val="20"/>
        </w:rPr>
        <w:t>Item 5. Other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describes, for the three months ended March 31, 2026, each trading arrangement for the purchase or sale of Company securities adopted, modified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69"/>
        <w:gridCol w:w="1027"/>
        <w:gridCol w:w="146"/>
        <w:gridCol w:w="956"/>
        <w:gridCol w:w="146"/>
        <w:gridCol w:w="860"/>
        <w:gridCol w:w="1258"/>
        <w:gridCol w:w="146"/>
        <w:gridCol w:w="239"/>
        <w:gridCol w:w="1107"/>
        <w:gridCol w:w="146"/>
        <w:gridCol w:w="146"/>
        <w:gridCol w:w="1359"/>
      </w:tblGrid>
      <w:tr>
        <w:trPr/>
        <w:tc>
          <w:tcPr>
            <w:tcW w:w="26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2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br/>
            </w:r>
            <w:r>
              <w:rPr>
                <w:rFonts w:ascii="Times New Roman" w:hAnsi="Times New Roman"/>
                <w:b/>
                <w:i/>
                <w:color w:val="000000"/>
                <w:sz w:val="20"/>
              </w:rPr>
              <w:t>(Title)</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Milligan</w:t>
              <w:br/>
            </w:r>
            <w:r>
              <w:rPr>
                <w:rFonts w:ascii="Times New Roman" w:hAnsi="Times New Roman"/>
                <w:i/>
                <w:color w:val="000000"/>
                <w:sz w:val="20"/>
              </w:rPr>
              <w:t>Chief Financial Officer and Principal Accounting Officer</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Terminate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29, 2028</w:t>
            </w:r>
          </w:p>
        </w:tc>
      </w:tr>
      <w:tr>
        <w:trPr/>
        <w:tc>
          <w:tcPr>
            <w:tcW w:w="2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Intended to satisfy the affirmative defense of Rule 10b5-1(c)</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Not intended to satisfy the affirmative defense of Rule 10b5-1(c)</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Trading arrangement was originally adopted August 30, 2024.</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15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6296"/>
        <w:gridCol w:w="146"/>
        <w:gridCol w:w="530"/>
        <w:gridCol w:w="667"/>
        <w:gridCol w:w="691"/>
        <w:gridCol w:w="146"/>
        <w:gridCol w:w="829"/>
      </w:tblGrid>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r>
      <w:tr>
        <w:trPr/>
        <w:tc>
          <w:tcPr>
            <w:tcW w:w="7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as amended,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Bylaws, as amended,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5">
              <w:r>
                <w:rPr>
                  <w:rStyle w:val="InternetLink"/>
                  <w:rFonts w:ascii="Times New Roman" w:hAnsi="Times New Roman"/>
                  <w:color w:val="0000FF"/>
                  <w:sz w:val="20"/>
                  <w:u w:val="single"/>
                </w:rPr>
                <w:t>3.1</w:t>
              </w:r>
            </w:hyperlink>
            <w:r>
              <w:rPr>
                <w:rFonts w:ascii="Times New Roman" w:hAnsi="Times New Roman"/>
                <w:color w:val="000000"/>
                <w:sz w:val="20"/>
              </w:rPr>
              <w:t xml:space="preserve"> through </w:t>
            </w:r>
            <w:hyperlink r:id="rId6">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9/11/2023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mr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mr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mr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mr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ind w:left="0" w:right="9360" w:hanging="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This certification accompanies the Quarterly Report pursuant to Section 906 of the Sarbanes-Oxley Act of 2002 and shall not be deemed “filed” by the Registrant for purposes of Section 18 of the Securities Exchange Act of 1934, as amended. </w:t>
      </w:r>
    </w:p>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99" w:type="dxa"/>
        <w:jc w:val="left"/>
        <w:tblInd w:w="0" w:type="dxa"/>
        <w:tblLayout w:type="fixed"/>
        <w:tblCellMar>
          <w:top w:w="28" w:type="dxa"/>
          <w:left w:w="28" w:type="dxa"/>
          <w:bottom w:w="28" w:type="dxa"/>
          <w:right w:w="28" w:type="dxa"/>
        </w:tblCellMar>
      </w:tblPr>
      <w:tblGrid>
        <w:gridCol w:w="1636"/>
        <w:gridCol w:w="146"/>
        <w:gridCol w:w="676"/>
        <w:gridCol w:w="47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Neumora Therapeutics,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Principal Accounting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nmra-ex31_1.htm"/>
      <w:bookmarkStart w:id="22" w:name="ksnmra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L. Berns,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Neumora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784" w:type="dxa"/>
        <w:jc w:val="left"/>
        <w:tblInd w:w="0" w:type="dxa"/>
        <w:tblLayout w:type="fixed"/>
        <w:tblCellMar>
          <w:top w:w="28" w:type="dxa"/>
          <w:left w:w="28" w:type="dxa"/>
          <w:bottom w:w="28" w:type="dxa"/>
          <w:right w:w="28" w:type="dxa"/>
        </w:tblCellMar>
      </w:tblPr>
      <w:tblGrid>
        <w:gridCol w:w="1636"/>
        <w:gridCol w:w="146"/>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mra-ex31_2.htm"/>
      <w:bookmarkStart w:id="24" w:name="ksnmra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Milligan,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Neumora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054" w:type="dxa"/>
        <w:jc w:val="left"/>
        <w:tblInd w:w="0" w:type="dxa"/>
        <w:tblLayout w:type="fixed"/>
        <w:tblCellMar>
          <w:top w:w="28" w:type="dxa"/>
          <w:left w:w="28" w:type="dxa"/>
          <w:bottom w:w="28" w:type="dxa"/>
          <w:right w:w="28" w:type="dxa"/>
        </w:tblCellMar>
      </w:tblPr>
      <w:tblGrid>
        <w:gridCol w:w="1636"/>
        <w:gridCol w:w="146"/>
        <w:gridCol w:w="406"/>
        <w:gridCol w:w="28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mra-ex32_1.htm"/>
      <w:bookmarkStart w:id="26" w:name="ksnmra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Neumora Therapeutics,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4784" w:type="dxa"/>
        <w:jc w:val="left"/>
        <w:tblInd w:w="0" w:type="dxa"/>
        <w:tblLayout w:type="fixed"/>
        <w:tblCellMar>
          <w:top w:w="28" w:type="dxa"/>
          <w:left w:w="28" w:type="dxa"/>
          <w:bottom w:w="28" w:type="dxa"/>
          <w:right w:w="28" w:type="dxa"/>
        </w:tblCellMar>
      </w:tblPr>
      <w:tblGrid>
        <w:gridCol w:w="1636"/>
        <w:gridCol w:w="146"/>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L. Berns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nmra-ex32_2.htm"/>
      <w:bookmarkStart w:id="28" w:name="ksnmra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Neumora Therapeutics,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5054" w:type="dxa"/>
        <w:jc w:val="left"/>
        <w:tblInd w:w="0" w:type="dxa"/>
        <w:tblLayout w:type="fixed"/>
        <w:tblCellMar>
          <w:top w:w="28" w:type="dxa"/>
          <w:left w:w="28" w:type="dxa"/>
          <w:bottom w:w="28" w:type="dxa"/>
          <w:right w:w="28" w:type="dxa"/>
        </w:tblCellMar>
      </w:tblPr>
      <w:tblGrid>
        <w:gridCol w:w="1636"/>
        <w:gridCol w:w="146"/>
        <w:gridCol w:w="406"/>
        <w:gridCol w:w="28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Milligan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5522/000119312523237644/d541406dex31.htm" TargetMode="External"/><Relationship Id="rId4" Type="http://schemas.openxmlformats.org/officeDocument/2006/relationships/hyperlink" Target="https://www.sec.gov/Archives/edgar/data/1885522/000119312523237644/d541406dex32.htm" TargetMode="External"/><Relationship Id="rId5" Type="http://schemas.openxmlformats.org/officeDocument/2006/relationships/hyperlink" Target="https://www.sec.gov/Archives/edgar/data/1885522/000119312523237644/d541406dex31.htm" TargetMode="External"/><Relationship Id="rId6" Type="http://schemas.openxmlformats.org/officeDocument/2006/relationships/hyperlink" Target="https://www.sec.gov/Archives/edgar/data/1885522/000119312523237644/d541406dex32.htm" TargetMode="External"/><Relationship Id="rId7" Type="http://schemas.openxmlformats.org/officeDocument/2006/relationships/hyperlink" Target="https://www.sec.gov/Archives/edgar/data/1885522/000119312523231902/d241143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64034</Words>
  <Characters>360133</Characters>
  <CharactersWithSpaces>423594</CharactersWithSpaces>
  <Paragraphs>4563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