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Neumora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001-41802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84-4367680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784"/>
        <w:spacing w:after="0"/>
        <w:rPr>
          <w:sz w:val="20"/>
          <w:szCs w:val="20"/>
          <w:color w:val="auto"/>
        </w:rPr>
      </w:pPr>
      <w:r>
        <w:rPr>
          <w:rFonts w:ascii="Times New Roman" w:cs="Times New Roman" w:eastAsia="Times New Roman" w:hAnsi="Times New Roman"/>
          <w:sz w:val="18"/>
          <w:szCs w:val="18"/>
          <w:b w:val="1"/>
          <w:bCs w:val="1"/>
          <w:color w:val="auto"/>
        </w:rPr>
        <w:t>260 Arsenal Place, Suite 1</w:t>
      </w:r>
    </w:p>
    <w:p>
      <w:pPr>
        <w:spacing w:after="0" w:line="31" w:lineRule="exact"/>
        <w:rPr>
          <w:sz w:val="24"/>
          <w:szCs w:val="24"/>
          <w:color w:val="auto"/>
        </w:rPr>
      </w:pPr>
    </w:p>
    <w:p>
      <w:pPr>
        <w:ind w:left="1744"/>
        <w:spacing w:after="0"/>
        <w:rPr>
          <w:sz w:val="20"/>
          <w:szCs w:val="20"/>
          <w:color w:val="auto"/>
        </w:rPr>
      </w:pPr>
      <w:r>
        <w:rPr>
          <w:rFonts w:ascii="Times New Roman" w:cs="Times New Roman" w:eastAsia="Times New Roman" w:hAnsi="Times New Roman"/>
          <w:sz w:val="17"/>
          <w:szCs w:val="17"/>
          <w:b w:val="1"/>
          <w:bCs w:val="1"/>
          <w:color w:val="auto"/>
        </w:rPr>
        <w:t>Watertown, Massachusetts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760-0900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NMRA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10, 2026, Neumora Therapeutics, Inc. (the “Company” or “Neumora”) as borrower, entered into a Third Amendment to the Loan and Security Agreement (the “Third Amendment”), with K2 HealthVentures LLC as a lender, and the lenders party thereto from time to time (collectively, “Lenders”, and each, a “Lender”), and K2 HealthVentures LLC, as administrative agent for Lenders. The Third Amendment modified the Company’s existing Loan Agreement and Security Agreement, originally dated as of May 9, 2025, as amended by that certain First Amendment to Loan and Security Agreement dated as of November 4, 2025, and as further amended by that certain Second Amendment to Loan and Security Agreement dated as of December 10, 2025 (as amended, including by the Third Amendment, the “Loan Agreement”).</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Third Amendment extended the interest-only period of the obligations under the Loan Agreement. If the second tranche of term loans is not funded, the term loans are interest-only through maturity. If the second tranche of term loans is funded, the Company is obligated to make interest-only payments through April 2029, followed by interest and principal payments for the remaining term, starting on May 1, 2029.</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Third Amendment also amended the minimum liquidity covenant under the Loan Agreement. The minimum liquidity covenant becomes effective July 1, 2026. The applicable minimum liquidity requirement will depend on the Company’s achievement of specified operational milestones and/or its market capitalization and will be equal to (i) 50% of the outstanding obligations under the Loan Agreement, (ii) 110% of the outstanding obligations under the Loan Agreement, or (iii) waived in full (i.e., zero).</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above description of the Third Amendment is a summary and is not complete. A copy of the Third Amendment will be filed as an exhibit to the Company’s Quarterly Report on Form 10-Q for the period ending June 30, 2026, and the above summary is qualified by reference to the terms set forth in such exhibit.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set forth under Item 1.01 of this Form 8-K is incorporated by reference herein in its entirety.</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12, 2026, in connection with the discontinuation of development of navacaprant described below, the Company implemented a reduction in force of approximately 35%, which it expects to complete in the second and third quarters of 2026. The Company expects the reduction in force to result in an annualized cost savings of approximately $10 million, partially offset by one-time restructuring costs of approximately $2 million to be incurred in the second quarter of 2026.</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June 15, 2026, the Company announced that the Phase 3 KOASTAL-2 and -3 studies of navacaprant for the treatment of major depressive disorder (“MDD”) did not achieve statistical significance on the primary or key secondary endpoints and that the Company is discontinuing development of navacaprant. A copy of the press release is furnished as Exhibit 99.1 to this Current Report on Form 8-K.</w:t>
      </w:r>
    </w:p>
    <w:p>
      <w:pPr>
        <w:spacing w:after="0" w:line="17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information set forth in this Item 7.01 and in the press release attached hereto as Exhibit 99.1 is deemed to be “furnished” and shall not be deemed to be “filed” for purposes of Section 18 of the Securities Exchange Act of 1934, as amended (the “Exchange Act”), or otherwise subject to the liabilities of that Section. The information set forth in this Item 7.01, including Exhibit 99.1, shall not be deemed incorporated by reference into any filing under the Exchange Act or the Securities Act of 1933, as amended, except to the extent that the Company specifically incorporates it by reference.</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 and Business Update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focused on the following near-term anticipated potential milestones:</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NMRA-511 (V1a receptor antagonist, Alzheimer’s disease agitation):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multiple ascending dose cohort evaluating higher doses in healthy elderly volunteers in the fourth quarter of 2026.</w:t>
      </w:r>
    </w:p>
    <w:p>
      <w:pPr>
        <w:spacing w:after="0" w:line="130" w:lineRule="exact"/>
        <w:rPr>
          <w:rFonts w:ascii="Times New Roman" w:cs="Times New Roman" w:eastAsia="Times New Roman" w:hAnsi="Times New Roman"/>
          <w:sz w:val="18"/>
          <w:szCs w:val="18"/>
          <w:color w:val="auto"/>
        </w:rPr>
      </w:pPr>
    </w:p>
    <w:p>
      <w:pPr>
        <w:ind w:left="1420" w:right="24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this study will inform dose selection for a Phase 2b dose ranging study that the Company plans to initiate by the end of 2026.</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NMRA-898 (M4 positive allosteric modulator, schizophrenia):</w:t>
      </w:r>
      <w:r>
        <w:rPr>
          <w:rFonts w:ascii="Times New Roman" w:cs="Times New Roman" w:eastAsia="Times New Roman" w:hAnsi="Times New Roman"/>
          <w:sz w:val="18"/>
          <w:szCs w:val="18"/>
          <w:color w:val="auto"/>
        </w:rPr>
        <w:t xml:space="preserve"> report data from the ongoing Phase 1 study in the second half of 2026.</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NMRA-215 (NLRP3 inhibitor, obesity):</w:t>
      </w:r>
    </w:p>
    <w:p>
      <w:pPr>
        <w:spacing w:after="0" w:line="130" w:lineRule="exact"/>
        <w:rPr>
          <w:rFonts w:ascii="Times New Roman" w:cs="Times New Roman" w:eastAsia="Times New Roman" w:hAnsi="Times New Roman"/>
          <w:sz w:val="18"/>
          <w:szCs w:val="18"/>
          <w:color w:val="auto"/>
        </w:rPr>
      </w:pPr>
    </w:p>
    <w:p>
      <w:pPr>
        <w:ind w:left="1420" w:right="22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repeat 13-week rat toxicology study mid-2026 and provide a program update with its second quarter earnings release in August 2026.</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clinical studies by year end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the reduction in force described under Item 2.05 above, the Company expects its current cash and cash equivalents to provide runway into the third quarter of 2027.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KOASTAL Summary Results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KOASTAL-2 and -3 studies enrolled 430 and 422 adult patients with MDD, respectively. The primary endpoint of both KOASTAL-2 and -3 was change from baseline (“CFB”) to week 6 on the Montgomery-Åsberg Depression Rating Scale (MADRS). In the KOASTAL-2 study patients treated with navacaprant 80 mg (n = 217) demonstrated a similar CFB to those treated with placebo (n = 213) [-12.2 vs -12.0; least-squares mean difference (“LSMD”) = -0.3; p = 0.813]. In the KOASTAL-3 study patients treated with navacaprant 80 mg (n = 212) demonstrated a numerically lower CFB than those treated with placebo (n = 210) [-10.1 vs -10.8; LSMD = 0.7; p = 0.480]. In patients enrolled after study optimizations, patients treated with navacaprant (n = 216) demonstrated a similar CFB to those treated with placebo (n = 210) [-12.1 vs -12.1; LSMD = 0.0; p = 0.976].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Navacaprant was shown to be safe and generally well-tolerated with a safety profile consistent with prior studies.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the Private Securities Litigation Reform Act of 1995. In some cases, you can identify forward-looking statements by terms such as “may,” “will,” “should,” “would,” “expect,” “plan,” “anticipate,” “could,” “intend,” “target,” “project,” “believe,” “estimate,” “predict,” “potential,” or “continue,” or the negative of these terms or other similar expressions.</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expressed or implied in this report include, but are not limited to, statements regarding the Company’s pipeline and anticipated milestones; the discontinuation of development of navacaprant; the reduction in force and expectations regarding annualized cost savings and restructuring charges; timing of the Company’s cash runway; and other statements that are not historical fact. These statements are based on Neumora’s current estimates, expectations, plans, objectives, and intentions, are not guarantees of future performance, and inherently involve significant risks and uncertainties. Actual results and the timing of events could differ materially from those anticipated in such forward-looking statements as a result of these risks and uncertainties, which include, but are not limited to, risks and uncertainties related to: comparisons to efficacy results from other sponsors should be interpreted with caution due to differences in compounds, study designs, subject characteristics, and other factors that may limit direct comparability; the risks related to the inherent uncertainty of clinical drug development and unpredictability and lengthy process for obtaining regulatory approvals; risks related to the timely initiation and enrollment in the Company’s clinical trials; risks related to its reliance on third parties, including CROs; risks related to serious or undesirable side effects of the Company’s therapeutic candidates; risks related to the Company’s ability to utilize and protect its intellectual property rights; and other matters that could affect sufficiency of capital resources to fund operations and other risks, including those described under the heading “Risk Factors” in Neumora’s Annual Reports on Form 10-K, Quarterly Reports on Form 10-Q and other reports filed with the U.S. Securities and Exchange Commission (“SEC”). These filings, when made, are available on the investor relations section of Neumora’s website at www.neumoratx.com and on the SEC’s website at www.sec.gov. Forward-looking statements contained in this report are made as of this date, and Neumora undertakes no duty to update such information except as required under applicable law.</w:t>
      </w:r>
    </w:p>
    <w:p>
      <w:pPr>
        <w:sectPr>
          <w:pgSz w:w="11900" w:h="16838" w:orient="portrait"/>
          <w:cols w:equalWidth="0" w:num="1">
            <w:col w:w="10980"/>
          </w:cols>
          <w:pgMar w:left="440" w:top="293"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8"/>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46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70"/>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7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Neumora Therapeutics, Inc. dated June 15, 2026.</w:t>
            </w:r>
          </w:p>
        </w:tc>
        <w:tc>
          <w:tcPr>
            <w:tcW w:w="4900" w:type="dxa"/>
            <w:vAlign w:val="bottom"/>
            <w:tcBorders>
              <w:top w:val="single" w:sz="8" w:color="auto"/>
            </w:tcBorders>
          </w:tcPr>
          <w:p>
            <w:pPr>
              <w:spacing w:after="0"/>
              <w:rPr>
                <w:sz w:val="23"/>
                <w:szCs w:val="23"/>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NEUMORA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Milligan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40"/>
          </w:cols>
          <w:pgMar w:left="440" w:top="293"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Neumora Therapeutics Reports Data from Phase 3 KOASTAL Program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Provides Business and Pipeline Update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Navacaprant did not achieve the primary endpoint in KOASTAL-2 or -3; Company to discontinue development of navacaprant</w:t>
      </w:r>
    </w:p>
    <w:p>
      <w:pPr>
        <w:spacing w:after="0" w:line="117" w:lineRule="exact"/>
        <w:rPr>
          <w:sz w:val="20"/>
          <w:szCs w:val="20"/>
          <w:color w:val="auto"/>
        </w:rPr>
      </w:pPr>
    </w:p>
    <w:p>
      <w:pPr>
        <w:ind w:left="2520" w:right="2520" w:hanging="25"/>
        <w:spacing w:after="0" w:line="315" w:lineRule="auto"/>
        <w:rPr>
          <w:sz w:val="20"/>
          <w:szCs w:val="20"/>
          <w:color w:val="auto"/>
        </w:rPr>
      </w:pPr>
      <w:r>
        <w:rPr>
          <w:rFonts w:ascii="Times New Roman" w:cs="Times New Roman" w:eastAsia="Times New Roman" w:hAnsi="Times New Roman"/>
          <w:sz w:val="17"/>
          <w:szCs w:val="17"/>
          <w:i w:val="1"/>
          <w:iCs w:val="1"/>
          <w:color w:val="auto"/>
        </w:rPr>
        <w:t>Advancing potential best-in-class programs with NMRA-511 in Alzheimer’s disease agitation, NMRA-898 in schizophrenia and NMRA-215 in cardiometabolic disease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Aligning organization to support initiation of multiple clinical studies, with cash runway into the third quarter of 2027</w:t>
      </w:r>
    </w:p>
    <w:p>
      <w:pPr>
        <w:spacing w:after="0" w:line="22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WATERTOWN, Mass., June 15, 2026 – Neumora Therapeutics, Inc. </w:t>
      </w:r>
      <w:r>
        <w:rPr>
          <w:rFonts w:ascii="Times New Roman" w:cs="Times New Roman" w:eastAsia="Times New Roman" w:hAnsi="Times New Roman"/>
          <w:sz w:val="18"/>
          <w:szCs w:val="18"/>
          <w:color w:val="auto"/>
        </w:rPr>
        <w:t>(Nasdaq: NMRA) a clinical-stage biopharmaceutical company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pipeline consisting of programs that target novel mechanisms of action for a broad range of underserved, prevalent diseases, today announced that the Phase 3 KOASTAL-2 and -3 studies of navacaprant for the treatment of major depressive disorder (MDD) did not achieve statistical significance on the primary or key secondary endpoints. The Company is discontinuing development of navacaprant as it continues to focus on advancing the rest of its best-in-class clinical portfolio.</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“While we are disappointed with the results of the KOASTAL-2 and -3 studies, we want to extend our gratitude to the patients, families, dedicated investigators, Neumora team and others who contributed meaningfully to the KOASTAL program,” said Bill Aurora, Pharm.D., chief operating and development officer, Neumora.</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remain excited about the best-in-class potential of our pipeline, which has advanced over the last six months with important data generated in each program,” said Paul L. Berns, chairman and chief executive officer, Neumora. “We look forward to the key catalysts we expect for NMRA-511 in Alzheimer’s disease agitation, NMRA-898 in schizophrenia and NMRA-215 in cardiometabolic disease over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&amp; BUSINESS UPDATE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Neumora continues to focus on advancing its potential best-in-class clinical portfolio with near-term anticipated milestones:</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NMRA-511 (V1a receptor antagonist, Alzheimer’s disease agitation):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multiple ascending dose cohort evaluating higher doses in healthy elderly volunteers in the fourth quarter of 2026.</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this study will inform dose selection for a Phase 2b dose ranging study that the Company plans to initiate by the end of 2026.</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NMRA-898 (M4 positive allosteric modulator, schizophrenia):</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data from the ongoing Phase 1 study in the second half of 2026.</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NMRA-215 (NLRP3 inhibitor, obesity):</w:t>
      </w:r>
    </w:p>
    <w:p>
      <w:pPr>
        <w:spacing w:after="0" w:line="130"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repeat 13-week rat toxicology study mid-2026 and provide a program update with the Company’s second quarter financial results in August 2026.</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clinical studies by year end 2026.</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Neumora today announced that it will reduce its workforce by approximately 35%, which it expects to result in an annualized cost savings of approximately $10 million, partially offset by one-time restructuring costs of approximately $2 million. The Company expects its current cash and cash equivalents to provide runway into the third quarter of 2027, including multiple expected key clinical milestones.</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KOASTAL SUMMARY RESULTS</w:t>
      </w:r>
    </w:p>
    <w:p>
      <w:pPr>
        <w:spacing w:after="0" w:line="121"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The KOASTAL-2 and -3 studies enrolled 430 and 422 adult patients with MDD, respectively. In addition to these topline results, Neumora today announced results from pre-specified analyses of 426 patients from both studies who were enrolled following study optimizations in early 2025.</w:t>
      </w:r>
    </w:p>
    <w:p>
      <w:pPr>
        <w:spacing w:after="0" w:line="140"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7"/>
          <w:szCs w:val="17"/>
          <w:color w:val="auto"/>
        </w:rPr>
        <w:t>The primary endpoint of both KOASTAL-2 and -3 was change from baseline (CFB) to week 6 on the Montgomery-Åsberg Depression Rating Scale (MADRS). In the KOASTAL-2 study patients treated with navacaprant 80 mg (n = 217) demonstrated a similar CFB to those treated with placebo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 213) [-12.2 vs -12.0; least-squares mean difference (LSMD) = -0.3; p = 0.813]. In the KOASTAL-3 study patients treated with navacaprant 80 mg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 212) demonstrated a numerically lower CFB than those treated with placebo (n = 210) [-10.1 vs -10.8; LSMD = 0.7; p = 0.480]. In patients enrolled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study optimizations, patients treated with navacaprant (n=216) demonstrated a similar CFB to those treated with placebo (n = 210) [-12.1 vs -12.1;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LSMD = 0.0; p = 0.976].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Navacaprant was shown to be safe and generally well tolerated with a safety profile consistent with prior studies.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Neumora</w:t>
      </w:r>
    </w:p>
    <w:p>
      <w:pPr>
        <w:spacing w:after="0" w:line="12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Neumora Therapeutics, Inc. is a clinical-stage biopharmaceutical company founded to confront the greatest medical challenges of our generation by taking a fundamentally different approach to the way treatments for brain diseases are developed. Our therapeutic pipeline currently consists of programs that target novel mechanisms of action for a broad range of underserved, prevalent diseases. Neumora’s mission is to redefine neuroscience drug development by bringing forward the next generation of novel therapies that offer improved treatment outcomes and quality of life for patients.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about Neumora Therapeutics, Inc. (the “Company,” “we,” “us,” or “our”) within the meaning of the federal securities laws, including statements related to: Neumora’s mission to redefine neuroscience drug development by bringing forward the next generation of novel therapies that offer improved treatment outcomes and quality of life for patients; advancement towards milestones for potential best-in-class programs with NMRA-511 in Alzheimer’s disease agitation, NMRA-898 in schizophrenia and NMRA-215 in obesity; the timing, progress and plans for its therapeutic development programs, including the timing of clinical trial initiation and data readouts; support for continued development, and upcoming milestones and catalysts; the reduction in force and expectations regarding annualized cost savings and restructuring charges; expectations and projections regarding future operating results and financial performance, including the sufficiency of its cash resources and expectation of the timing of its cash runway; and other statements identified by words such as “could,” “expects,” “intends,” “may,” “plans,” “potential,” “should,” “will,” “would,” or similar expressions and the negatives of those terms. Other than statements of historical facts, all statements contained in this press release are forward-looking statements within the meaning of the “safe harbor” provisions of the Private Securities Litigation Reform Act of 1995. These statements are subject to risks and uncertainties that could cause the actual results to be materially different from the information expressed or implied by these forward-looking</w:t>
      </w:r>
    </w:p>
    <w:p>
      <w:pPr>
        <w:sectPr>
          <w:pgSz w:w="11900" w:h="16838" w:orient="portrait"/>
          <w:cols w:equalWidth="0" w:num="1">
            <w:col w:w="11000"/>
          </w:cols>
          <w:pgMar w:left="440" w:top="266" w:right="45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statements, including, among others: comparisons to efficacy results from other sponsors should be interpreted with caution due to differences in compounds, study designs, subject characteristics, and other factors that may limit direct comparability; the risks related to the inherent uncertainty of clinical drug development and unpredictability and lengthy process for obtaining regulatory approvals; risks related to the timely initiation and enrollment in our clinical trials; risks related to our reliance on third parties, including CROs; risks related to serious or undesirable side effects of our therapeutic candidates; risks related to our ability to utilize and protect our intellectual property rights; and other matters that could affect sufficiency of capital resources to fund operations. For a detailed discussion of the risks and uncertainties that could cause actual results to differ from those expressed in these forward-looking statements, as well as risks relating to Neumora’s business in general, please refer to the risk factors identified in the Company’s filings with the Securities and Exchange Commission (SEC), including but not limited to its Quarterly Report on Form 10-Q for the quarter ended March 31, 2026 which was filed with the SEC on May 7, 2026. Forward-looking statements speak only as of the date hereof, and, except as required by law, Neumora undertakes no obligation to update or revise these forward-looking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Neumora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Rubinstein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617-402-5700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Helen.Rubinstein@neumoratx.com</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2026-06-15T07:17:05Z</dcterms:created>
  <dcterms:modified xsi:type="dcterms:W3CDTF">2026-06-15T07:17:05Z</dcterms:modified>
</cp:coreProperties>
</file>